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utoSpaceDE w:val="0"/>
        <w:autoSpaceDN w:val="0"/>
        <w:adjustRightInd w:val="0"/>
        <w:spacing w:line="560" w:lineRule="exact"/>
        <w:jc w:val="right"/>
        <w:rPr>
          <w:rFonts w:ascii="宋体" w:hAnsi="宋体" w:cs="黑体"/>
          <w:sz w:val="30"/>
          <w:szCs w:val="30"/>
        </w:rPr>
      </w:pPr>
      <w:r>
        <w:rPr>
          <w:rFonts w:hint="eastAsia" w:ascii="宋体" w:hAnsi="宋体"/>
          <w:bCs/>
          <w:sz w:val="28"/>
          <w:szCs w:val="28"/>
        </w:rPr>
        <w:t xml:space="preserve"> </w:t>
      </w:r>
      <w:bookmarkStart w:id="0" w:name="_Hlk497168988"/>
      <w:bookmarkEnd w:id="0"/>
      <w:r>
        <w:rPr>
          <w:rFonts w:hint="eastAsia" w:ascii="宋体" w:hAnsi="宋体" w:cs="仿宋"/>
          <w:sz w:val="24"/>
          <w:szCs w:val="30"/>
        </w:rPr>
        <w:t>厦恒</w:t>
      </w:r>
      <w:r>
        <w:rPr>
          <w:rFonts w:hint="eastAsia" w:ascii="宋体" w:hAnsi="宋体" w:cs="Calibri"/>
          <w:sz w:val="24"/>
          <w:szCs w:val="30"/>
        </w:rPr>
        <w:t>咨字[202</w:t>
      </w:r>
      <w:r>
        <w:rPr>
          <w:rFonts w:ascii="宋体" w:hAnsi="宋体" w:cs="Calibri"/>
          <w:sz w:val="24"/>
          <w:szCs w:val="30"/>
        </w:rPr>
        <w:t>3</w:t>
      </w:r>
      <w:r>
        <w:rPr>
          <w:rFonts w:hint="eastAsia" w:ascii="宋体" w:hAnsi="宋体" w:cs="Calibri"/>
          <w:sz w:val="24"/>
          <w:szCs w:val="30"/>
        </w:rPr>
        <w:t>]</w:t>
      </w:r>
      <w:r>
        <w:rPr>
          <w:rFonts w:hint="eastAsia" w:ascii="宋体" w:hAnsi="宋体" w:cs="仿宋"/>
          <w:sz w:val="24"/>
          <w:szCs w:val="30"/>
        </w:rPr>
        <w:t>第</w:t>
      </w:r>
      <w:r>
        <w:rPr>
          <w:rFonts w:ascii="宋体" w:hAnsi="宋体" w:cs="仿宋"/>
          <w:sz w:val="24"/>
          <w:szCs w:val="30"/>
        </w:rPr>
        <w:t>XX</w:t>
      </w:r>
      <w:r>
        <w:rPr>
          <w:rFonts w:hint="eastAsia" w:ascii="宋体" w:hAnsi="宋体" w:cs="仿宋"/>
          <w:sz w:val="24"/>
          <w:szCs w:val="30"/>
        </w:rPr>
        <w:t>号</w:t>
      </w:r>
    </w:p>
    <w:p>
      <w:pPr>
        <w:spacing w:line="560" w:lineRule="exact"/>
        <w:rPr>
          <w:rFonts w:ascii="宋体" w:hAnsi="宋体"/>
          <w:bCs/>
          <w:sz w:val="28"/>
          <w:szCs w:val="28"/>
        </w:rPr>
      </w:pPr>
    </w:p>
    <w:p>
      <w:pPr>
        <w:spacing w:line="560" w:lineRule="exact"/>
        <w:rPr>
          <w:rFonts w:ascii="宋体" w:hAnsi="宋体"/>
          <w:bCs/>
          <w:sz w:val="28"/>
          <w:szCs w:val="28"/>
        </w:rPr>
      </w:pPr>
    </w:p>
    <w:p>
      <w:pPr>
        <w:snapToGrid w:val="0"/>
        <w:spacing w:line="560" w:lineRule="exact"/>
        <w:jc w:val="center"/>
        <w:rPr>
          <w:rFonts w:ascii="仿宋" w:hAnsi="仿宋" w:eastAsia="仿宋"/>
          <w:b/>
          <w:bCs/>
          <w:sz w:val="52"/>
          <w:szCs w:val="52"/>
        </w:rPr>
      </w:pPr>
    </w:p>
    <w:p>
      <w:pPr>
        <w:snapToGrid w:val="0"/>
        <w:spacing w:line="360" w:lineRule="auto"/>
        <w:jc w:val="center"/>
        <w:rPr>
          <w:rFonts w:ascii="仿宋" w:hAnsi="仿宋" w:eastAsia="仿宋"/>
          <w:b/>
          <w:bCs/>
          <w:sz w:val="52"/>
          <w:szCs w:val="52"/>
        </w:rPr>
      </w:pPr>
      <w:r>
        <w:rPr>
          <w:rFonts w:hint="eastAsia" w:ascii="仿宋" w:hAnsi="仿宋" w:eastAsia="仿宋"/>
          <w:b/>
          <w:bCs/>
          <w:sz w:val="52"/>
          <w:szCs w:val="52"/>
        </w:rPr>
        <w:t>石狮市财政支出项目</w:t>
      </w:r>
    </w:p>
    <w:p>
      <w:pPr>
        <w:snapToGrid w:val="0"/>
        <w:spacing w:line="360" w:lineRule="auto"/>
        <w:jc w:val="center"/>
        <w:rPr>
          <w:rFonts w:ascii="仿宋" w:hAnsi="仿宋" w:eastAsia="仿宋"/>
          <w:b/>
          <w:sz w:val="52"/>
        </w:rPr>
      </w:pPr>
      <w:r>
        <w:rPr>
          <w:rFonts w:hint="eastAsia" w:ascii="仿宋" w:hAnsi="仿宋" w:eastAsia="仿宋"/>
          <w:b/>
          <w:bCs/>
          <w:sz w:val="52"/>
          <w:szCs w:val="52"/>
        </w:rPr>
        <w:t>绩效评价报告</w:t>
      </w:r>
    </w:p>
    <w:p>
      <w:pPr>
        <w:snapToGrid w:val="0"/>
        <w:spacing w:line="360" w:lineRule="auto"/>
        <w:jc w:val="center"/>
        <w:rPr>
          <w:rFonts w:ascii="宋体" w:hAnsi="宋体"/>
          <w:b/>
          <w:sz w:val="52"/>
        </w:rPr>
      </w:pPr>
      <w:r>
        <w:rPr>
          <w:rFonts w:hint="eastAsia" w:ascii="仿宋" w:hAnsi="仿宋" w:eastAsia="仿宋"/>
          <w:b/>
          <w:bCs/>
          <w:sz w:val="52"/>
          <w:szCs w:val="52"/>
        </w:rPr>
        <w:t>（征求意见稿V</w:t>
      </w:r>
      <w:r>
        <w:rPr>
          <w:rFonts w:ascii="仿宋" w:hAnsi="仿宋" w:eastAsia="仿宋"/>
          <w:b/>
          <w:bCs/>
          <w:sz w:val="52"/>
          <w:szCs w:val="52"/>
        </w:rPr>
        <w:t>6</w:t>
      </w:r>
      <w:r>
        <w:rPr>
          <w:rFonts w:hint="eastAsia" w:ascii="仿宋" w:hAnsi="仿宋" w:eastAsia="仿宋"/>
          <w:b/>
          <w:bCs/>
          <w:sz w:val="52"/>
          <w:szCs w:val="52"/>
        </w:rPr>
        <w:t>）</w:t>
      </w:r>
    </w:p>
    <w:p>
      <w:pPr>
        <w:snapToGrid w:val="0"/>
        <w:spacing w:line="560" w:lineRule="exact"/>
        <w:jc w:val="center"/>
        <w:rPr>
          <w:rFonts w:ascii="宋体" w:hAnsi="宋体"/>
          <w:b/>
          <w:sz w:val="52"/>
        </w:rPr>
      </w:pPr>
    </w:p>
    <w:p>
      <w:pPr>
        <w:snapToGrid w:val="0"/>
        <w:spacing w:line="560" w:lineRule="exact"/>
        <w:rPr>
          <w:rFonts w:ascii="宋体" w:hAnsi="宋体"/>
          <w:b/>
          <w:sz w:val="52"/>
        </w:rPr>
      </w:pPr>
      <w:r>
        <w:rPr>
          <w:rFonts w:hint="eastAsia" w:ascii="宋体" w:hAnsi="宋体"/>
          <w:b/>
          <w:sz w:val="52"/>
        </w:rPr>
        <w:t xml:space="preserve"> </w:t>
      </w:r>
      <w:r>
        <w:rPr>
          <w:rFonts w:ascii="宋体" w:hAnsi="宋体"/>
          <w:b/>
          <w:sz w:val="52"/>
        </w:rPr>
        <w:t xml:space="preserve">                 </w:t>
      </w:r>
    </w:p>
    <w:p>
      <w:pPr>
        <w:snapToGrid w:val="0"/>
        <w:spacing w:line="560" w:lineRule="exact"/>
        <w:rPr>
          <w:rFonts w:ascii="宋体" w:hAnsi="宋体"/>
          <w:b/>
          <w:sz w:val="52"/>
        </w:rPr>
      </w:pPr>
    </w:p>
    <w:p>
      <w:pPr>
        <w:snapToGrid w:val="0"/>
        <w:spacing w:line="560" w:lineRule="exact"/>
        <w:rPr>
          <w:rFonts w:ascii="宋体" w:hAnsi="宋体"/>
          <w:b/>
          <w:sz w:val="52"/>
        </w:rPr>
      </w:pPr>
    </w:p>
    <w:p>
      <w:pPr>
        <w:snapToGrid w:val="0"/>
        <w:spacing w:line="560" w:lineRule="exact"/>
        <w:rPr>
          <w:rFonts w:ascii="宋体" w:hAnsi="宋体"/>
          <w:b/>
          <w:sz w:val="52"/>
        </w:rPr>
      </w:pPr>
      <w:r>
        <w:rPr>
          <w:rFonts w:hint="eastAsia" w:ascii="宋体" w:hAnsi="宋体"/>
          <w:b/>
          <w:sz w:val="52"/>
        </w:rPr>
        <w:t xml:space="preserve"> </w:t>
      </w:r>
      <w:r>
        <w:rPr>
          <w:rFonts w:ascii="宋体" w:hAnsi="宋体"/>
          <w:b/>
          <w:sz w:val="52"/>
        </w:rPr>
        <w:t xml:space="preserve">                  </w:t>
      </w:r>
    </w:p>
    <w:p>
      <w:pPr>
        <w:snapToGrid w:val="0"/>
        <w:spacing w:line="560" w:lineRule="exact"/>
        <w:rPr>
          <w:rFonts w:ascii="宋体" w:hAnsi="宋体"/>
          <w:b/>
          <w:sz w:val="52"/>
        </w:rPr>
      </w:pPr>
    </w:p>
    <w:p>
      <w:pPr>
        <w:snapToGrid w:val="0"/>
        <w:spacing w:line="560" w:lineRule="exact"/>
        <w:ind w:left="210" w:leftChars="100" w:firstLine="214" w:firstLineChars="67"/>
        <w:jc w:val="left"/>
        <w:rPr>
          <w:rFonts w:ascii="仿宋" w:hAnsi="仿宋" w:eastAsia="仿宋"/>
          <w:sz w:val="32"/>
          <w:szCs w:val="32"/>
          <w:u w:val="single"/>
        </w:rPr>
      </w:pPr>
      <w:r>
        <w:rPr>
          <w:rFonts w:hint="eastAsia" w:ascii="宋体" w:hAnsi="宋体" w:eastAsia="仿宋_GB2312"/>
          <w:sz w:val="32"/>
          <w:szCs w:val="32"/>
        </w:rPr>
        <w:t>主管部门：</w:t>
      </w:r>
      <w:r>
        <w:rPr>
          <w:rFonts w:hint="eastAsia" w:ascii="仿宋" w:hAnsi="仿宋" w:eastAsia="仿宋"/>
          <w:sz w:val="32"/>
          <w:szCs w:val="32"/>
          <w:u w:val="single"/>
        </w:rPr>
        <w:t xml:space="preserve">石狮市城市管理局 </w:t>
      </w:r>
      <w:r>
        <w:rPr>
          <w:rFonts w:ascii="仿宋" w:hAnsi="仿宋" w:eastAsia="仿宋"/>
          <w:sz w:val="32"/>
          <w:szCs w:val="32"/>
          <w:u w:val="single"/>
        </w:rPr>
        <w:t xml:space="preserve">                 </w:t>
      </w:r>
    </w:p>
    <w:p>
      <w:pPr>
        <w:snapToGrid w:val="0"/>
        <w:spacing w:line="560" w:lineRule="exact"/>
        <w:ind w:left="210" w:leftChars="100" w:firstLine="214" w:firstLineChars="67"/>
        <w:rPr>
          <w:rFonts w:ascii="仿宋" w:hAnsi="仿宋" w:eastAsia="仿宋"/>
          <w:sz w:val="32"/>
          <w:szCs w:val="32"/>
          <w:u w:val="single"/>
        </w:rPr>
      </w:pPr>
      <w:r>
        <w:rPr>
          <w:rFonts w:hint="eastAsia" w:ascii="仿宋" w:hAnsi="仿宋" w:eastAsia="仿宋"/>
          <w:sz w:val="32"/>
          <w:szCs w:val="32"/>
        </w:rPr>
        <w:t>项目单位：</w:t>
      </w:r>
      <w:r>
        <w:rPr>
          <w:rFonts w:hint="eastAsia" w:ascii="仿宋" w:hAnsi="仿宋" w:eastAsia="仿宋"/>
          <w:kern w:val="10"/>
          <w:sz w:val="32"/>
          <w:szCs w:val="32"/>
          <w:u w:val="single"/>
        </w:rPr>
        <w:t xml:space="preserve">石狮市园林环卫中心          </w:t>
      </w:r>
      <w:r>
        <w:rPr>
          <w:rFonts w:ascii="仿宋" w:hAnsi="仿宋" w:eastAsia="仿宋"/>
          <w:kern w:val="10"/>
          <w:sz w:val="32"/>
          <w:szCs w:val="32"/>
          <w:u w:val="single"/>
        </w:rPr>
        <w:t xml:space="preserve">  </w:t>
      </w:r>
      <w:r>
        <w:rPr>
          <w:rFonts w:hint="eastAsia" w:ascii="仿宋" w:hAnsi="仿宋" w:eastAsia="仿宋"/>
          <w:kern w:val="10"/>
          <w:sz w:val="32"/>
          <w:szCs w:val="32"/>
          <w:u w:val="single"/>
        </w:rPr>
        <w:t xml:space="preserve">    </w:t>
      </w:r>
    </w:p>
    <w:p>
      <w:pPr>
        <w:tabs>
          <w:tab w:val="left" w:pos="3060"/>
          <w:tab w:val="left" w:pos="4140"/>
        </w:tabs>
        <w:snapToGrid w:val="0"/>
        <w:spacing w:line="560" w:lineRule="exact"/>
        <w:ind w:left="210" w:leftChars="100" w:firstLine="214" w:firstLineChars="67"/>
        <w:rPr>
          <w:rFonts w:ascii="仿宋" w:hAnsi="仿宋" w:eastAsia="仿宋"/>
          <w:kern w:val="10"/>
          <w:sz w:val="32"/>
          <w:szCs w:val="32"/>
          <w:u w:val="single"/>
        </w:rPr>
      </w:pPr>
      <w:r>
        <w:rPr>
          <w:rFonts w:hint="eastAsia" w:ascii="仿宋" w:hAnsi="仿宋" w:eastAsia="仿宋"/>
          <w:sz w:val="32"/>
          <w:szCs w:val="32"/>
        </w:rPr>
        <w:t>项目名称：</w:t>
      </w:r>
      <w:r>
        <w:rPr>
          <w:rFonts w:hint="eastAsia" w:ascii="仿宋" w:hAnsi="仿宋" w:eastAsia="仿宋"/>
          <w:sz w:val="32"/>
          <w:szCs w:val="32"/>
          <w:u w:val="single"/>
        </w:rPr>
        <w:t>时花采购</w:t>
      </w:r>
      <w:r>
        <w:rPr>
          <w:rFonts w:hint="eastAsia" w:ascii="仿宋" w:hAnsi="仿宋" w:eastAsia="仿宋"/>
          <w:kern w:val="10"/>
          <w:sz w:val="32"/>
          <w:szCs w:val="32"/>
          <w:u w:val="single"/>
        </w:rPr>
        <w:t xml:space="preserve">                  </w:t>
      </w:r>
      <w:r>
        <w:rPr>
          <w:rFonts w:ascii="仿宋" w:hAnsi="仿宋" w:eastAsia="仿宋"/>
          <w:kern w:val="10"/>
          <w:sz w:val="32"/>
          <w:szCs w:val="32"/>
          <w:u w:val="single"/>
        </w:rPr>
        <w:t xml:space="preserve">    </w:t>
      </w:r>
      <w:r>
        <w:rPr>
          <w:rFonts w:hint="eastAsia" w:ascii="仿宋" w:hAnsi="仿宋" w:eastAsia="仿宋"/>
          <w:kern w:val="10"/>
          <w:sz w:val="32"/>
          <w:szCs w:val="32"/>
          <w:u w:val="single"/>
        </w:rPr>
        <w:t xml:space="preserve">    </w:t>
      </w:r>
    </w:p>
    <w:p>
      <w:pPr>
        <w:spacing w:line="560" w:lineRule="exact"/>
        <w:ind w:firstLine="425" w:firstLineChars="133"/>
        <w:rPr>
          <w:rFonts w:ascii="仿宋" w:hAnsi="仿宋" w:eastAsia="仿宋"/>
          <w:sz w:val="32"/>
          <w:szCs w:val="32"/>
          <w:u w:val="single"/>
        </w:rPr>
      </w:pPr>
      <w:r>
        <w:rPr>
          <w:rFonts w:hint="eastAsia" w:ascii="仿宋" w:hAnsi="仿宋" w:eastAsia="仿宋"/>
          <w:sz w:val="32"/>
          <w:szCs w:val="32"/>
        </w:rPr>
        <w:t>评价机构：</w:t>
      </w:r>
      <w:r>
        <w:rPr>
          <w:rFonts w:hint="eastAsia" w:ascii="仿宋" w:hAnsi="仿宋" w:eastAsia="仿宋"/>
          <w:sz w:val="32"/>
          <w:szCs w:val="32"/>
          <w:u w:val="single"/>
        </w:rPr>
        <w:t>厦门市恒</w:t>
      </w:r>
      <w:r>
        <w:rPr>
          <w:rFonts w:hint="eastAsia" w:ascii="仿宋" w:hAnsi="仿宋" w:eastAsia="仿宋" w:cs="微软雅黑"/>
          <w:sz w:val="32"/>
          <w:szCs w:val="32"/>
          <w:u w:val="single"/>
        </w:rPr>
        <w:t>璟</w:t>
      </w:r>
      <w:r>
        <w:rPr>
          <w:rFonts w:hint="eastAsia" w:ascii="仿宋" w:hAnsi="仿宋" w:eastAsia="仿宋" w:cs="仿宋_GB2312"/>
          <w:sz w:val="32"/>
          <w:szCs w:val="32"/>
          <w:u w:val="single"/>
        </w:rPr>
        <w:t xml:space="preserve">管理顾问有限公司   </w:t>
      </w:r>
      <w:r>
        <w:rPr>
          <w:rFonts w:ascii="仿宋" w:hAnsi="仿宋" w:eastAsia="仿宋" w:cs="仿宋_GB2312"/>
          <w:sz w:val="32"/>
          <w:szCs w:val="32"/>
          <w:u w:val="single"/>
        </w:rPr>
        <w:t xml:space="preserve">   </w:t>
      </w:r>
      <w:r>
        <w:rPr>
          <w:rFonts w:hint="eastAsia" w:ascii="仿宋" w:hAnsi="仿宋" w:eastAsia="仿宋" w:cs="仿宋_GB2312"/>
          <w:sz w:val="32"/>
          <w:szCs w:val="32"/>
          <w:u w:val="single"/>
        </w:rPr>
        <w:t xml:space="preserve">  </w:t>
      </w:r>
    </w:p>
    <w:p>
      <w:pPr>
        <w:spacing w:line="560" w:lineRule="exact"/>
        <w:jc w:val="center"/>
        <w:rPr>
          <w:rFonts w:ascii="仿宋" w:hAnsi="仿宋" w:eastAsia="仿宋" w:cs="仿宋"/>
          <w:b/>
          <w:szCs w:val="30"/>
        </w:rPr>
      </w:pPr>
      <w:r>
        <w:rPr>
          <w:rFonts w:hint="eastAsia" w:ascii="仿宋" w:hAnsi="仿宋" w:eastAsia="仿宋" w:cs="仿宋"/>
          <w:szCs w:val="30"/>
        </w:rPr>
        <w:t xml:space="preserve">    </w:t>
      </w:r>
      <w:r>
        <w:rPr>
          <w:rFonts w:hint="eastAsia" w:ascii="仿宋" w:hAnsi="仿宋" w:eastAsia="仿宋" w:cs="仿宋"/>
          <w:b/>
          <w:szCs w:val="30"/>
        </w:rPr>
        <w:t xml:space="preserve">                  </w:t>
      </w:r>
    </w:p>
    <w:p>
      <w:pPr>
        <w:spacing w:line="560" w:lineRule="exact"/>
        <w:rPr>
          <w:rFonts w:ascii="黑体" w:hAnsi="宋体" w:eastAsia="黑体"/>
          <w:b/>
          <w:sz w:val="32"/>
          <w:szCs w:val="32"/>
        </w:rPr>
      </w:pPr>
    </w:p>
    <w:p>
      <w:pPr>
        <w:spacing w:line="560" w:lineRule="exact"/>
        <w:jc w:val="center"/>
        <w:rPr>
          <w:rFonts w:ascii="黑体" w:eastAsia="黑体"/>
          <w:sz w:val="36"/>
          <w:szCs w:val="36"/>
        </w:rPr>
      </w:pPr>
      <w:r>
        <w:rPr>
          <w:rFonts w:hint="eastAsia" w:ascii="黑体" w:eastAsia="黑体"/>
          <w:sz w:val="36"/>
          <w:szCs w:val="36"/>
        </w:rPr>
        <w:t>石狮市财政局</w:t>
      </w:r>
    </w:p>
    <w:p>
      <w:pPr>
        <w:spacing w:line="560" w:lineRule="exact"/>
        <w:jc w:val="center"/>
        <w:rPr>
          <w:rFonts w:ascii="黑体" w:eastAsia="黑体"/>
          <w:sz w:val="36"/>
          <w:szCs w:val="36"/>
        </w:rPr>
        <w:sectPr>
          <w:footerReference r:id="rId3" w:type="default"/>
          <w:footerReference r:id="rId4" w:type="even"/>
          <w:pgSz w:w="11906" w:h="16838"/>
          <w:pgMar w:top="1440" w:right="1800" w:bottom="1440" w:left="1800" w:header="851" w:footer="992" w:gutter="0"/>
          <w:cols w:space="720" w:num="1"/>
          <w:docGrid w:type="lines" w:linePitch="312" w:charSpace="0"/>
        </w:sectPr>
      </w:pPr>
      <w:r>
        <w:rPr>
          <w:rFonts w:ascii="黑体" w:eastAsia="黑体"/>
          <w:sz w:val="36"/>
          <w:szCs w:val="36"/>
        </w:rPr>
        <w:t>2023</w:t>
      </w:r>
      <w:r>
        <w:rPr>
          <w:rFonts w:hint="eastAsia" w:ascii="黑体" w:eastAsia="黑体"/>
          <w:sz w:val="36"/>
          <w:szCs w:val="36"/>
        </w:rPr>
        <w:t>年</w:t>
      </w:r>
      <w:r>
        <w:rPr>
          <w:rFonts w:ascii="黑体" w:eastAsia="黑体"/>
          <w:sz w:val="36"/>
          <w:szCs w:val="36"/>
        </w:rPr>
        <w:t>7</w:t>
      </w:r>
      <w:r>
        <w:rPr>
          <w:rFonts w:hint="eastAsia" w:ascii="黑体" w:eastAsia="黑体"/>
          <w:sz w:val="36"/>
          <w:szCs w:val="36"/>
        </w:rPr>
        <w:t>月</w:t>
      </w:r>
    </w:p>
    <w:p>
      <w:pPr>
        <w:spacing w:line="560" w:lineRule="exact"/>
        <w:jc w:val="center"/>
        <w:rPr>
          <w:rFonts w:ascii="黑体" w:eastAsia="黑体"/>
          <w:sz w:val="36"/>
          <w:szCs w:val="36"/>
        </w:rPr>
      </w:pPr>
      <w:r>
        <w:rPr>
          <w:rFonts w:hint="eastAsia" w:ascii="黑体" w:eastAsia="黑体"/>
          <w:sz w:val="36"/>
          <w:szCs w:val="36"/>
        </w:rPr>
        <w:t xml:space="preserve">摘 </w:t>
      </w:r>
      <w:r>
        <w:rPr>
          <w:rFonts w:ascii="黑体" w:eastAsia="黑体"/>
          <w:sz w:val="36"/>
          <w:szCs w:val="36"/>
        </w:rPr>
        <w:t xml:space="preserve"> </w:t>
      </w:r>
      <w:r>
        <w:rPr>
          <w:rFonts w:hint="eastAsia" w:ascii="黑体" w:eastAsia="黑体"/>
          <w:sz w:val="36"/>
          <w:szCs w:val="36"/>
        </w:rPr>
        <w:t>要</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受石狮市财政局委托，我司（厦门市恒</w:t>
      </w:r>
      <w:r>
        <w:rPr>
          <w:rFonts w:hint="eastAsia" w:ascii="仿宋" w:hAnsi="仿宋" w:eastAsia="仿宋"/>
          <w:sz w:val="32"/>
          <w:szCs w:val="32"/>
        </w:rPr>
        <w:t>璟</w:t>
      </w:r>
      <w:r>
        <w:rPr>
          <w:rFonts w:hint="eastAsia" w:ascii="仿宋_GB2312" w:eastAsia="仿宋_GB2312"/>
          <w:sz w:val="32"/>
          <w:szCs w:val="32"/>
        </w:rPr>
        <w:t>管理顾问有限公司）对石狮市园林环卫中心（以下简称</w:t>
      </w:r>
      <w:bookmarkStart w:id="1" w:name="_Hlk138942004"/>
      <w:r>
        <w:rPr>
          <w:rFonts w:hint="eastAsia" w:ascii="仿宋_GB2312" w:eastAsia="仿宋_GB2312"/>
          <w:sz w:val="32"/>
          <w:szCs w:val="32"/>
        </w:rPr>
        <w:t>市园林环卫中心</w:t>
      </w:r>
      <w:bookmarkEnd w:id="1"/>
      <w:r>
        <w:rPr>
          <w:rFonts w:hint="eastAsia" w:ascii="仿宋_GB2312" w:eastAsia="仿宋_GB2312"/>
          <w:sz w:val="32"/>
          <w:szCs w:val="32"/>
        </w:rPr>
        <w:t>）“时花采购项目”项目开展事后绩效评价，形成评价报告。</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本次评价的目的在于：通过事后绩效评价，衡量财政资金支出的产出与效益，了解、分析、检验项目资金是否能够达到预期目标，为预算安排提供重要依据。同时促进项目单位及时总结经验，发现问题、改进工作，进一步加强项目管理，提高财政资金使用效益。</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本次评价对象即资金使用与管理的责任主体为市园林环卫中心，评价范围为“石狮市20</w:t>
      </w:r>
      <w:r>
        <w:rPr>
          <w:rFonts w:ascii="仿宋_GB2312" w:eastAsia="仿宋_GB2312"/>
          <w:sz w:val="32"/>
          <w:szCs w:val="32"/>
        </w:rPr>
        <w:t>22</w:t>
      </w:r>
      <w:r>
        <w:rPr>
          <w:rFonts w:hint="eastAsia" w:ascii="仿宋_GB2312" w:eastAsia="仿宋_GB2312"/>
          <w:sz w:val="32"/>
          <w:szCs w:val="32"/>
        </w:rPr>
        <w:t>年度时花采购项目”，20</w:t>
      </w:r>
      <w:r>
        <w:rPr>
          <w:rFonts w:ascii="仿宋_GB2312" w:eastAsia="仿宋_GB2312"/>
          <w:sz w:val="32"/>
          <w:szCs w:val="32"/>
        </w:rPr>
        <w:t>22</w:t>
      </w:r>
      <w:r>
        <w:rPr>
          <w:rFonts w:hint="eastAsia" w:ascii="仿宋_GB2312" w:eastAsia="仿宋_GB2312"/>
          <w:sz w:val="32"/>
          <w:szCs w:val="32"/>
        </w:rPr>
        <w:t>年项目预算审批资金</w:t>
      </w:r>
      <w:r>
        <w:rPr>
          <w:rFonts w:ascii="仿宋_GB2312" w:eastAsia="仿宋_GB2312"/>
          <w:sz w:val="32"/>
          <w:szCs w:val="32"/>
        </w:rPr>
        <w:t>690</w:t>
      </w:r>
      <w:r>
        <w:rPr>
          <w:rFonts w:hint="eastAsia" w:ascii="仿宋_GB2312" w:eastAsia="仿宋_GB2312"/>
          <w:sz w:val="32"/>
          <w:szCs w:val="32"/>
        </w:rPr>
        <w:t>万元，实际支出金额</w:t>
      </w:r>
      <w:r>
        <w:rPr>
          <w:rFonts w:ascii="仿宋_GB2312" w:eastAsia="仿宋_GB2312"/>
          <w:sz w:val="32"/>
          <w:szCs w:val="32"/>
        </w:rPr>
        <w:t>72.11</w:t>
      </w:r>
      <w:r>
        <w:rPr>
          <w:rFonts w:hint="eastAsia" w:ascii="仿宋_GB2312" w:eastAsia="仿宋_GB2312"/>
          <w:sz w:val="32"/>
          <w:szCs w:val="32"/>
        </w:rPr>
        <w:t>万元。</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基于资金属性及评价目的，采取主观评价与客观评价相结合，设计并建立包括决策、过程、产出、效益</w:t>
      </w:r>
      <w:r>
        <w:rPr>
          <w:rFonts w:ascii="仿宋_GB2312" w:eastAsia="仿宋_GB2312"/>
          <w:sz w:val="32"/>
          <w:szCs w:val="32"/>
        </w:rPr>
        <w:t>4</w:t>
      </w:r>
      <w:r>
        <w:rPr>
          <w:rFonts w:hint="eastAsia" w:ascii="仿宋_GB2312" w:eastAsia="仿宋_GB2312"/>
          <w:sz w:val="32"/>
          <w:szCs w:val="32"/>
        </w:rPr>
        <w:t>个一级指标，在此基础上建立3级指标体系，结合书面评价、现场走访及问卷调查结果对项目实施事后绩效评价进行打分。</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经评价，“石狮市20</w:t>
      </w:r>
      <w:r>
        <w:rPr>
          <w:rFonts w:ascii="仿宋_GB2312" w:eastAsia="仿宋_GB2312"/>
          <w:sz w:val="32"/>
          <w:szCs w:val="32"/>
        </w:rPr>
        <w:t>22</w:t>
      </w:r>
      <w:r>
        <w:rPr>
          <w:rFonts w:hint="eastAsia" w:ascii="仿宋_GB2312" w:eastAsia="仿宋_GB2312"/>
          <w:sz w:val="32"/>
          <w:szCs w:val="32"/>
        </w:rPr>
        <w:t>年度时花采购项目”得分</w:t>
      </w:r>
      <w:r>
        <w:rPr>
          <w:rFonts w:ascii="仿宋_GB2312" w:eastAsia="仿宋_GB2312"/>
          <w:sz w:val="32"/>
          <w:szCs w:val="32"/>
        </w:rPr>
        <w:t>78.23</w:t>
      </w:r>
      <w:r>
        <w:rPr>
          <w:rFonts w:hint="eastAsia" w:ascii="仿宋_GB2312" w:eastAsia="仿宋_GB2312"/>
          <w:sz w:val="32"/>
          <w:szCs w:val="32"/>
        </w:rPr>
        <w:t>分,等级为“中”。</w:t>
      </w:r>
    </w:p>
    <w:p>
      <w:pPr>
        <w:spacing w:line="360" w:lineRule="auto"/>
        <w:ind w:firstLine="630"/>
        <w:rPr>
          <w:rFonts w:ascii="仿宋_GB2312" w:eastAsia="仿宋_GB2312"/>
          <w:sz w:val="32"/>
          <w:szCs w:val="32"/>
        </w:rPr>
      </w:pPr>
      <w:r>
        <w:rPr>
          <w:rFonts w:hint="eastAsia" w:ascii="仿宋_GB2312" w:eastAsia="仿宋_GB2312"/>
          <w:sz w:val="32"/>
          <w:szCs w:val="32"/>
        </w:rPr>
        <w:t>该项目实施后取得成效有：市园林环卫中心打造城市景观工程，时花种植突出节点，打造亮点，提升绿化、美化水平，为重要节假日营造氛围。美化城市环境，提升城市颜值品位，改善了人居环境，提升了人民群众的幸福感、获得感。</w:t>
      </w:r>
    </w:p>
    <w:p>
      <w:pPr>
        <w:spacing w:line="360" w:lineRule="auto"/>
        <w:ind w:firstLine="630"/>
        <w:rPr>
          <w:rFonts w:ascii="仿宋_GB2312" w:eastAsia="仿宋_GB2312"/>
          <w:sz w:val="32"/>
          <w:szCs w:val="32"/>
        </w:rPr>
      </w:pPr>
      <w:r>
        <w:rPr>
          <w:rFonts w:hint="eastAsia" w:ascii="仿宋_GB2312" w:eastAsia="仿宋_GB2312"/>
          <w:sz w:val="32"/>
          <w:szCs w:val="32"/>
        </w:rPr>
        <w:t>同时，评价也发现一些问题：一</w:t>
      </w:r>
      <w:r>
        <w:rPr>
          <w:rFonts w:ascii="仿宋_GB2312" w:eastAsia="仿宋_GB2312"/>
          <w:sz w:val="32"/>
          <w:szCs w:val="32"/>
        </w:rPr>
        <w:t>是</w:t>
      </w:r>
      <w:r>
        <w:rPr>
          <w:rFonts w:hint="eastAsia" w:ascii="仿宋_GB2312" w:eastAsia="仿宋_GB2312"/>
          <w:sz w:val="32"/>
          <w:szCs w:val="32"/>
        </w:rPr>
        <w:t>招标文件及合同未对时花品种、花色做出约定，不利于丰富时花品种；二</w:t>
      </w:r>
      <w:r>
        <w:rPr>
          <w:rFonts w:ascii="仿宋_GB2312" w:eastAsia="仿宋_GB2312"/>
          <w:sz w:val="32"/>
          <w:szCs w:val="32"/>
        </w:rPr>
        <w:t>是</w:t>
      </w:r>
      <w:r>
        <w:rPr>
          <w:rFonts w:hint="eastAsia" w:ascii="仿宋_GB2312" w:eastAsia="仿宋_GB2312"/>
          <w:sz w:val="32"/>
          <w:szCs w:val="32"/>
        </w:rPr>
        <w:t>对供应商的考核、管理有待进一步加强：三是项目成本可以进一步优化；四是款项支付方式与合同约定不符；五是时花种植地点可以进一步优化。</w:t>
      </w:r>
    </w:p>
    <w:p>
      <w:pPr>
        <w:spacing w:line="360" w:lineRule="auto"/>
        <w:ind w:firstLine="566" w:firstLineChars="177"/>
        <w:rPr>
          <w:rFonts w:ascii="仿宋_GB2312" w:eastAsia="仿宋_GB2312"/>
          <w:sz w:val="32"/>
          <w:szCs w:val="32"/>
        </w:rPr>
      </w:pPr>
      <w:r>
        <w:rPr>
          <w:rFonts w:hint="eastAsia" w:ascii="仿宋_GB2312" w:eastAsia="仿宋_GB2312"/>
          <w:sz w:val="32"/>
          <w:szCs w:val="32"/>
        </w:rPr>
        <w:t>针对存在的问题，报告建议：一</w:t>
      </w:r>
      <w:r>
        <w:rPr>
          <w:rFonts w:ascii="仿宋_GB2312" w:eastAsia="仿宋_GB2312"/>
          <w:sz w:val="32"/>
          <w:szCs w:val="32"/>
        </w:rPr>
        <w:t>是</w:t>
      </w:r>
      <w:r>
        <w:rPr>
          <w:rFonts w:hint="eastAsia" w:ascii="仿宋_GB2312" w:eastAsia="仿宋_GB2312"/>
          <w:sz w:val="32"/>
          <w:szCs w:val="32"/>
        </w:rPr>
        <w:t>细化招标文件，提升采购质量；二是完善考核管理机制，提升供应商服务水平；三是压缩采购成本，降本增效；四是按照合同约定，规范支付款项；五是优化时花种植路段，提高财政资金使用效益。</w:t>
      </w:r>
    </w:p>
    <w:p>
      <w:pPr>
        <w:spacing w:line="560" w:lineRule="exact"/>
        <w:rPr>
          <w:rFonts w:ascii="黑体" w:hAnsi="黑体" w:eastAsia="黑体"/>
          <w:color w:val="000000"/>
          <w:sz w:val="36"/>
          <w:szCs w:val="36"/>
        </w:rPr>
        <w:sectPr>
          <w:pgSz w:w="11906" w:h="16838"/>
          <w:pgMar w:top="1440" w:right="1800" w:bottom="1440" w:left="1800" w:header="851" w:footer="992" w:gutter="0"/>
          <w:cols w:space="720" w:num="1"/>
          <w:docGrid w:type="lines" w:linePitch="312" w:charSpace="0"/>
        </w:sectPr>
      </w:pPr>
    </w:p>
    <w:p>
      <w:pPr>
        <w:pStyle w:val="25"/>
        <w:spacing w:line="360" w:lineRule="auto"/>
        <w:jc w:val="center"/>
        <w:rPr>
          <w:rFonts w:ascii="仿宋" w:hAnsi="仿宋" w:eastAsia="仿宋"/>
          <w:b/>
          <w:bCs/>
          <w:sz w:val="36"/>
          <w:szCs w:val="36"/>
        </w:rPr>
      </w:pPr>
      <w:r>
        <w:rPr>
          <w:rFonts w:hint="eastAsia" w:ascii="仿宋" w:hAnsi="仿宋" w:eastAsia="仿宋"/>
          <w:b/>
          <w:bCs/>
          <w:color w:val="auto"/>
          <w:sz w:val="36"/>
          <w:szCs w:val="36"/>
          <w:lang w:val="zh-CN"/>
        </w:rPr>
        <w:t>目  录</w:t>
      </w:r>
    </w:p>
    <w:p>
      <w:pPr>
        <w:pStyle w:val="8"/>
        <w:tabs>
          <w:tab w:val="right" w:leader="dot" w:pos="8296"/>
        </w:tabs>
        <w:spacing w:line="360" w:lineRule="auto"/>
        <w:rPr>
          <w:rFonts w:ascii="仿宋_GB2312" w:eastAsia="仿宋_GB2312" w:hAnsiTheme="minorHAnsi" w:cstheme="minorBidi"/>
          <w:sz w:val="32"/>
          <w:szCs w:val="32"/>
          <w14:ligatures w14:val="standardContextual"/>
        </w:rPr>
      </w:pPr>
      <w:r>
        <w:rPr>
          <w:rFonts w:hint="eastAsia" w:ascii="仿宋_GB2312" w:hAnsi="仿宋" w:eastAsia="仿宋_GB2312"/>
          <w:sz w:val="32"/>
          <w:szCs w:val="32"/>
        </w:rPr>
        <w:fldChar w:fldCharType="begin"/>
      </w:r>
      <w:r>
        <w:rPr>
          <w:rFonts w:hint="eastAsia" w:ascii="仿宋_GB2312" w:hAnsi="仿宋" w:eastAsia="仿宋_GB2312"/>
          <w:sz w:val="32"/>
          <w:szCs w:val="32"/>
        </w:rPr>
        <w:instrText xml:space="preserve"> TOC \o "1-3" \h \z \u </w:instrText>
      </w:r>
      <w:r>
        <w:rPr>
          <w:rFonts w:hint="eastAsia" w:ascii="仿宋_GB2312" w:hAnsi="仿宋" w:eastAsia="仿宋_GB2312"/>
          <w:sz w:val="32"/>
          <w:szCs w:val="32"/>
        </w:rPr>
        <w:fldChar w:fldCharType="separate"/>
      </w:r>
      <w:r>
        <w:fldChar w:fldCharType="begin"/>
      </w:r>
      <w:r>
        <w:instrText xml:space="preserve"> HYPERLINK \l "_Toc142062790" </w:instrText>
      </w:r>
      <w:r>
        <w:fldChar w:fldCharType="separate"/>
      </w:r>
      <w:r>
        <w:rPr>
          <w:rStyle w:val="16"/>
          <w:rFonts w:hint="eastAsia" w:ascii="仿宋_GB2312" w:eastAsia="仿宋_GB2312"/>
          <w:sz w:val="32"/>
          <w:szCs w:val="32"/>
        </w:rPr>
        <w:t>一、项目概述</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_Toc142062790 \h </w:instrText>
      </w:r>
      <w:r>
        <w:rPr>
          <w:rFonts w:hint="eastAsia" w:ascii="仿宋_GB2312" w:eastAsia="仿宋_GB2312"/>
          <w:sz w:val="32"/>
          <w:szCs w:val="32"/>
        </w:rPr>
        <w:fldChar w:fldCharType="separate"/>
      </w:r>
      <w:r>
        <w:rPr>
          <w:rFonts w:ascii="仿宋_GB2312" w:eastAsia="仿宋_GB2312"/>
          <w:sz w:val="32"/>
          <w:szCs w:val="32"/>
        </w:rPr>
        <w:t>1</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"_Toc142062791" </w:instrText>
      </w:r>
      <w:r>
        <w:fldChar w:fldCharType="separate"/>
      </w:r>
      <w:r>
        <w:rPr>
          <w:rStyle w:val="16"/>
          <w:rFonts w:hint="eastAsia" w:ascii="仿宋_GB2312" w:hAnsi="黑体" w:eastAsia="仿宋_GB2312"/>
          <w:kern w:val="44"/>
          <w:sz w:val="32"/>
          <w:szCs w:val="32"/>
        </w:rPr>
        <w:t>（一）项目概况</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_Toc142062791 \h </w:instrText>
      </w:r>
      <w:r>
        <w:rPr>
          <w:rFonts w:hint="eastAsia" w:ascii="仿宋_GB2312" w:eastAsia="仿宋_GB2312"/>
          <w:sz w:val="32"/>
          <w:szCs w:val="32"/>
        </w:rPr>
        <w:fldChar w:fldCharType="separate"/>
      </w:r>
      <w:r>
        <w:rPr>
          <w:rFonts w:ascii="仿宋_GB2312" w:eastAsia="仿宋_GB2312"/>
          <w:sz w:val="32"/>
          <w:szCs w:val="32"/>
        </w:rPr>
        <w:t>1</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"_Toc142062792" </w:instrText>
      </w:r>
      <w:r>
        <w:fldChar w:fldCharType="separate"/>
      </w:r>
      <w:r>
        <w:rPr>
          <w:rStyle w:val="16"/>
          <w:rFonts w:hint="eastAsia" w:ascii="仿宋_GB2312" w:hAnsi="黑体" w:eastAsia="仿宋_GB2312"/>
          <w:kern w:val="44"/>
          <w:sz w:val="32"/>
          <w:szCs w:val="32"/>
        </w:rPr>
        <w:t>（二）项目资金情况</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_Toc142062792 \h </w:instrText>
      </w:r>
      <w:r>
        <w:rPr>
          <w:rFonts w:hint="eastAsia" w:ascii="仿宋_GB2312" w:eastAsia="仿宋_GB2312"/>
          <w:sz w:val="32"/>
          <w:szCs w:val="32"/>
        </w:rPr>
        <w:fldChar w:fldCharType="separate"/>
      </w:r>
      <w:r>
        <w:rPr>
          <w:rFonts w:ascii="仿宋_GB2312" w:eastAsia="仿宋_GB2312"/>
          <w:sz w:val="32"/>
          <w:szCs w:val="32"/>
        </w:rPr>
        <w:t>3</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"_Toc142062793" </w:instrText>
      </w:r>
      <w:r>
        <w:fldChar w:fldCharType="separate"/>
      </w:r>
      <w:r>
        <w:rPr>
          <w:rStyle w:val="16"/>
          <w:rFonts w:hint="eastAsia" w:ascii="仿宋_GB2312" w:hAnsi="黑体" w:eastAsia="仿宋_GB2312"/>
          <w:kern w:val="44"/>
          <w:sz w:val="32"/>
          <w:szCs w:val="32"/>
        </w:rPr>
        <w:t>（三）项目绩效目标</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_Toc142062793 \h </w:instrText>
      </w:r>
      <w:r>
        <w:rPr>
          <w:rFonts w:hint="eastAsia" w:ascii="仿宋_GB2312" w:eastAsia="仿宋_GB2312"/>
          <w:sz w:val="32"/>
          <w:szCs w:val="32"/>
        </w:rPr>
        <w:fldChar w:fldCharType="separate"/>
      </w:r>
      <w:r>
        <w:rPr>
          <w:rFonts w:ascii="仿宋_GB2312" w:eastAsia="仿宋_GB2312"/>
          <w:sz w:val="32"/>
          <w:szCs w:val="32"/>
        </w:rPr>
        <w:t>4</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"_Toc142062794" </w:instrText>
      </w:r>
      <w:r>
        <w:fldChar w:fldCharType="separate"/>
      </w:r>
      <w:r>
        <w:rPr>
          <w:rStyle w:val="16"/>
          <w:rFonts w:hint="eastAsia" w:ascii="仿宋_GB2312" w:hAnsi="黑体" w:eastAsia="仿宋_GB2312"/>
          <w:kern w:val="44"/>
          <w:sz w:val="32"/>
          <w:szCs w:val="32"/>
        </w:rPr>
        <w:t>（四）项目组织管理与业务流程</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_Toc142062794 \h </w:instrText>
      </w:r>
      <w:r>
        <w:rPr>
          <w:rFonts w:hint="eastAsia" w:ascii="仿宋_GB2312" w:eastAsia="仿宋_GB2312"/>
          <w:sz w:val="32"/>
          <w:szCs w:val="32"/>
        </w:rPr>
        <w:fldChar w:fldCharType="separate"/>
      </w:r>
      <w:r>
        <w:rPr>
          <w:rFonts w:ascii="仿宋_GB2312" w:eastAsia="仿宋_GB2312"/>
          <w:sz w:val="32"/>
          <w:szCs w:val="32"/>
        </w:rPr>
        <w:t>5</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8"/>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"_Toc142062795" </w:instrText>
      </w:r>
      <w:r>
        <w:fldChar w:fldCharType="separate"/>
      </w:r>
      <w:r>
        <w:rPr>
          <w:rStyle w:val="16"/>
          <w:rFonts w:hint="eastAsia" w:ascii="仿宋_GB2312" w:eastAsia="仿宋_GB2312"/>
          <w:sz w:val="32"/>
          <w:szCs w:val="32"/>
        </w:rPr>
        <w:t>二、评价工作简述</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_Toc142062795 \h </w:instrText>
      </w:r>
      <w:r>
        <w:rPr>
          <w:rFonts w:hint="eastAsia" w:ascii="仿宋_GB2312" w:eastAsia="仿宋_GB2312"/>
          <w:sz w:val="32"/>
          <w:szCs w:val="32"/>
        </w:rPr>
        <w:fldChar w:fldCharType="separate"/>
      </w:r>
      <w:r>
        <w:rPr>
          <w:rFonts w:ascii="仿宋_GB2312" w:eastAsia="仿宋_GB2312"/>
          <w:sz w:val="32"/>
          <w:szCs w:val="32"/>
        </w:rPr>
        <w:t>7</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"_Toc142062796" </w:instrText>
      </w:r>
      <w:r>
        <w:fldChar w:fldCharType="separate"/>
      </w:r>
      <w:r>
        <w:rPr>
          <w:rStyle w:val="16"/>
          <w:rFonts w:hint="eastAsia" w:ascii="仿宋_GB2312" w:hAnsi="黑体" w:eastAsia="仿宋_GB2312"/>
          <w:kern w:val="44"/>
          <w:sz w:val="32"/>
          <w:szCs w:val="32"/>
        </w:rPr>
        <w:t>（一）基本情况</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_Toc142062796 \h </w:instrText>
      </w:r>
      <w:r>
        <w:rPr>
          <w:rFonts w:hint="eastAsia" w:ascii="仿宋_GB2312" w:eastAsia="仿宋_GB2312"/>
          <w:sz w:val="32"/>
          <w:szCs w:val="32"/>
        </w:rPr>
        <w:fldChar w:fldCharType="separate"/>
      </w:r>
      <w:r>
        <w:rPr>
          <w:rFonts w:ascii="仿宋_GB2312" w:eastAsia="仿宋_GB2312"/>
          <w:sz w:val="32"/>
          <w:szCs w:val="32"/>
        </w:rPr>
        <w:t>7</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"_Toc142062797" </w:instrText>
      </w:r>
      <w:r>
        <w:fldChar w:fldCharType="separate"/>
      </w:r>
      <w:r>
        <w:rPr>
          <w:rStyle w:val="16"/>
          <w:rFonts w:hint="eastAsia" w:ascii="仿宋_GB2312" w:hAnsi="黑体" w:eastAsia="仿宋_GB2312"/>
          <w:kern w:val="44"/>
          <w:sz w:val="32"/>
          <w:szCs w:val="32"/>
        </w:rPr>
        <w:t>（二）绩效评价原则和评价方法</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_Toc142062797 \h </w:instrText>
      </w:r>
      <w:r>
        <w:rPr>
          <w:rFonts w:hint="eastAsia" w:ascii="仿宋_GB2312" w:eastAsia="仿宋_GB2312"/>
          <w:sz w:val="32"/>
          <w:szCs w:val="32"/>
        </w:rPr>
        <w:fldChar w:fldCharType="separate"/>
      </w:r>
      <w:r>
        <w:rPr>
          <w:rFonts w:ascii="仿宋_GB2312" w:eastAsia="仿宋_GB2312"/>
          <w:sz w:val="32"/>
          <w:szCs w:val="32"/>
        </w:rPr>
        <w:t>8</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"_Toc142062798" </w:instrText>
      </w:r>
      <w:r>
        <w:fldChar w:fldCharType="separate"/>
      </w:r>
      <w:r>
        <w:rPr>
          <w:rStyle w:val="16"/>
          <w:rFonts w:hint="eastAsia" w:ascii="仿宋_GB2312" w:hAnsi="黑体" w:eastAsia="仿宋_GB2312"/>
          <w:kern w:val="44"/>
          <w:sz w:val="32"/>
          <w:szCs w:val="32"/>
        </w:rPr>
        <w:t>（三）现场评价及满意度评价</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_Toc142062798 \h </w:instrText>
      </w:r>
      <w:r>
        <w:rPr>
          <w:rFonts w:hint="eastAsia" w:ascii="仿宋_GB2312" w:eastAsia="仿宋_GB2312"/>
          <w:sz w:val="32"/>
          <w:szCs w:val="32"/>
        </w:rPr>
        <w:fldChar w:fldCharType="separate"/>
      </w:r>
      <w:r>
        <w:rPr>
          <w:rFonts w:ascii="仿宋_GB2312" w:eastAsia="仿宋_GB2312"/>
          <w:sz w:val="32"/>
          <w:szCs w:val="32"/>
        </w:rPr>
        <w:t>9</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"_Toc142062799" </w:instrText>
      </w:r>
      <w:r>
        <w:fldChar w:fldCharType="separate"/>
      </w:r>
      <w:r>
        <w:rPr>
          <w:rStyle w:val="16"/>
          <w:rFonts w:hint="eastAsia" w:ascii="仿宋_GB2312" w:hAnsi="黑体" w:eastAsia="仿宋_GB2312"/>
          <w:kern w:val="44"/>
          <w:sz w:val="32"/>
          <w:szCs w:val="32"/>
        </w:rPr>
        <w:t>（四）评价标准</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_Toc142062799 \h </w:instrText>
      </w:r>
      <w:r>
        <w:rPr>
          <w:rFonts w:hint="eastAsia" w:ascii="仿宋_GB2312" w:eastAsia="仿宋_GB2312"/>
          <w:sz w:val="32"/>
          <w:szCs w:val="32"/>
        </w:rPr>
        <w:fldChar w:fldCharType="separate"/>
      </w:r>
      <w:r>
        <w:rPr>
          <w:rFonts w:ascii="仿宋_GB2312" w:eastAsia="仿宋_GB2312"/>
          <w:sz w:val="32"/>
          <w:szCs w:val="32"/>
        </w:rPr>
        <w:t>10</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8"/>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"_Toc142062800" </w:instrText>
      </w:r>
      <w:r>
        <w:fldChar w:fldCharType="separate"/>
      </w:r>
      <w:r>
        <w:rPr>
          <w:rStyle w:val="16"/>
          <w:rFonts w:hint="eastAsia" w:ascii="仿宋_GB2312" w:eastAsia="仿宋_GB2312"/>
          <w:sz w:val="32"/>
          <w:szCs w:val="32"/>
        </w:rPr>
        <w:t>三、总体评价结论</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_Toc142062800 \h </w:instrText>
      </w:r>
      <w:r>
        <w:rPr>
          <w:rFonts w:hint="eastAsia" w:ascii="仿宋_GB2312" w:eastAsia="仿宋_GB2312"/>
          <w:sz w:val="32"/>
          <w:szCs w:val="32"/>
        </w:rPr>
        <w:fldChar w:fldCharType="separate"/>
      </w:r>
      <w:r>
        <w:rPr>
          <w:rFonts w:ascii="仿宋_GB2312" w:eastAsia="仿宋_GB2312"/>
          <w:sz w:val="32"/>
          <w:szCs w:val="32"/>
        </w:rPr>
        <w:t>11</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"_Toc142062801" </w:instrText>
      </w:r>
      <w:r>
        <w:fldChar w:fldCharType="separate"/>
      </w:r>
      <w:r>
        <w:rPr>
          <w:rStyle w:val="16"/>
          <w:rFonts w:hint="eastAsia" w:ascii="仿宋_GB2312" w:hAnsi="黑体" w:eastAsia="仿宋_GB2312"/>
          <w:kern w:val="44"/>
          <w:sz w:val="32"/>
          <w:szCs w:val="32"/>
        </w:rPr>
        <w:t>（一）评价得分情况</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_Toc142062801 \h </w:instrText>
      </w:r>
      <w:r>
        <w:rPr>
          <w:rFonts w:hint="eastAsia" w:ascii="仿宋_GB2312" w:eastAsia="仿宋_GB2312"/>
          <w:sz w:val="32"/>
          <w:szCs w:val="32"/>
        </w:rPr>
        <w:fldChar w:fldCharType="separate"/>
      </w:r>
      <w:r>
        <w:rPr>
          <w:rFonts w:ascii="仿宋_GB2312" w:eastAsia="仿宋_GB2312"/>
          <w:sz w:val="32"/>
          <w:szCs w:val="32"/>
        </w:rPr>
        <w:t>11</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"_Toc142062802" </w:instrText>
      </w:r>
      <w:r>
        <w:fldChar w:fldCharType="separate"/>
      </w:r>
      <w:r>
        <w:rPr>
          <w:rStyle w:val="16"/>
          <w:rFonts w:hint="eastAsia" w:ascii="仿宋_GB2312" w:hAnsi="黑体" w:eastAsia="仿宋_GB2312"/>
          <w:kern w:val="44"/>
          <w:sz w:val="32"/>
          <w:szCs w:val="32"/>
        </w:rPr>
        <w:t>（二）项目支出所实现的主要绩效</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_Toc142062802 \h </w:instrText>
      </w:r>
      <w:r>
        <w:rPr>
          <w:rFonts w:hint="eastAsia" w:ascii="仿宋_GB2312" w:eastAsia="仿宋_GB2312"/>
          <w:sz w:val="32"/>
          <w:szCs w:val="32"/>
        </w:rPr>
        <w:fldChar w:fldCharType="separate"/>
      </w:r>
      <w:r>
        <w:rPr>
          <w:rFonts w:ascii="仿宋_GB2312" w:eastAsia="仿宋_GB2312"/>
          <w:sz w:val="32"/>
          <w:szCs w:val="32"/>
        </w:rPr>
        <w:t>13</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8"/>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"_Toc142062803" </w:instrText>
      </w:r>
      <w:r>
        <w:fldChar w:fldCharType="separate"/>
      </w:r>
      <w:r>
        <w:rPr>
          <w:rStyle w:val="16"/>
          <w:rFonts w:hint="eastAsia" w:ascii="仿宋_GB2312" w:eastAsia="仿宋_GB2312"/>
          <w:sz w:val="32"/>
          <w:szCs w:val="32"/>
        </w:rPr>
        <w:t>四、绩效管理和实现过程分析</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_Toc142062803 \h </w:instrText>
      </w:r>
      <w:r>
        <w:rPr>
          <w:rFonts w:hint="eastAsia" w:ascii="仿宋_GB2312" w:eastAsia="仿宋_GB2312"/>
          <w:sz w:val="32"/>
          <w:szCs w:val="32"/>
        </w:rPr>
        <w:fldChar w:fldCharType="separate"/>
      </w:r>
      <w:r>
        <w:rPr>
          <w:rFonts w:ascii="仿宋_GB2312" w:eastAsia="仿宋_GB2312"/>
          <w:sz w:val="32"/>
          <w:szCs w:val="32"/>
        </w:rPr>
        <w:t>13</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"_Toc142062804" </w:instrText>
      </w:r>
      <w:r>
        <w:fldChar w:fldCharType="separate"/>
      </w:r>
      <w:r>
        <w:rPr>
          <w:rStyle w:val="16"/>
          <w:rFonts w:hint="eastAsia" w:ascii="仿宋_GB2312" w:hAnsi="黑体" w:eastAsia="仿宋_GB2312"/>
          <w:kern w:val="44"/>
          <w:sz w:val="32"/>
          <w:szCs w:val="32"/>
        </w:rPr>
        <w:t>（一）绩效目标评价分析</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_Toc142062804 \h </w:instrText>
      </w:r>
      <w:r>
        <w:rPr>
          <w:rFonts w:hint="eastAsia" w:ascii="仿宋_GB2312" w:eastAsia="仿宋_GB2312"/>
          <w:sz w:val="32"/>
          <w:szCs w:val="32"/>
        </w:rPr>
        <w:fldChar w:fldCharType="separate"/>
      </w:r>
      <w:r>
        <w:rPr>
          <w:rFonts w:ascii="仿宋_GB2312" w:eastAsia="仿宋_GB2312"/>
          <w:sz w:val="32"/>
          <w:szCs w:val="32"/>
        </w:rPr>
        <w:t>13</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"_Toc142062805" </w:instrText>
      </w:r>
      <w:r>
        <w:fldChar w:fldCharType="separate"/>
      </w:r>
      <w:r>
        <w:rPr>
          <w:rStyle w:val="16"/>
          <w:rFonts w:hint="eastAsia" w:ascii="仿宋_GB2312" w:hAnsi="黑体" w:eastAsia="仿宋_GB2312"/>
          <w:kern w:val="44"/>
          <w:sz w:val="32"/>
          <w:szCs w:val="32"/>
        </w:rPr>
        <w:t>（二）预算管理评价分析</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_Toc142062805 \h </w:instrText>
      </w:r>
      <w:r>
        <w:rPr>
          <w:rFonts w:hint="eastAsia" w:ascii="仿宋_GB2312" w:eastAsia="仿宋_GB2312"/>
          <w:sz w:val="32"/>
          <w:szCs w:val="32"/>
        </w:rPr>
        <w:fldChar w:fldCharType="separate"/>
      </w:r>
      <w:r>
        <w:rPr>
          <w:rFonts w:ascii="仿宋_GB2312" w:eastAsia="仿宋_GB2312"/>
          <w:sz w:val="32"/>
          <w:szCs w:val="32"/>
        </w:rPr>
        <w:t>14</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"_Toc142062806" </w:instrText>
      </w:r>
      <w:r>
        <w:fldChar w:fldCharType="separate"/>
      </w:r>
      <w:r>
        <w:rPr>
          <w:rStyle w:val="16"/>
          <w:rFonts w:hint="eastAsia" w:ascii="仿宋_GB2312" w:hAnsi="黑体" w:eastAsia="仿宋_GB2312"/>
          <w:kern w:val="44"/>
          <w:sz w:val="32"/>
          <w:szCs w:val="32"/>
        </w:rPr>
        <w:t>（三）决策及过程评价分析</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_Toc142062806 \h </w:instrText>
      </w:r>
      <w:r>
        <w:rPr>
          <w:rFonts w:hint="eastAsia" w:ascii="仿宋_GB2312" w:eastAsia="仿宋_GB2312"/>
          <w:sz w:val="32"/>
          <w:szCs w:val="32"/>
        </w:rPr>
        <w:fldChar w:fldCharType="separate"/>
      </w:r>
      <w:r>
        <w:rPr>
          <w:rFonts w:ascii="仿宋_GB2312" w:eastAsia="仿宋_GB2312"/>
          <w:sz w:val="32"/>
          <w:szCs w:val="32"/>
        </w:rPr>
        <w:t>14</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"_Toc142062807" </w:instrText>
      </w:r>
      <w:r>
        <w:fldChar w:fldCharType="separate"/>
      </w:r>
      <w:r>
        <w:rPr>
          <w:rStyle w:val="16"/>
          <w:rFonts w:hint="eastAsia" w:ascii="仿宋_GB2312" w:hAnsi="黑体" w:eastAsia="仿宋_GB2312"/>
          <w:kern w:val="44"/>
          <w:sz w:val="32"/>
          <w:szCs w:val="32"/>
        </w:rPr>
        <w:t>（四）产出及效果评价分析</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_Toc142062807 \h </w:instrText>
      </w:r>
      <w:r>
        <w:rPr>
          <w:rFonts w:hint="eastAsia" w:ascii="仿宋_GB2312" w:eastAsia="仿宋_GB2312"/>
          <w:sz w:val="32"/>
          <w:szCs w:val="32"/>
        </w:rPr>
        <w:fldChar w:fldCharType="separate"/>
      </w:r>
      <w:r>
        <w:rPr>
          <w:rFonts w:ascii="仿宋_GB2312" w:eastAsia="仿宋_GB2312"/>
          <w:sz w:val="32"/>
          <w:szCs w:val="32"/>
        </w:rPr>
        <w:t>19</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8"/>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"_Toc142062808" </w:instrText>
      </w:r>
      <w:r>
        <w:fldChar w:fldCharType="separate"/>
      </w:r>
      <w:r>
        <w:rPr>
          <w:rStyle w:val="16"/>
          <w:rFonts w:hint="eastAsia" w:ascii="仿宋_GB2312" w:eastAsia="仿宋_GB2312"/>
          <w:sz w:val="32"/>
          <w:szCs w:val="32"/>
        </w:rPr>
        <w:t>五、存在的主要问题</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_Toc142062808 \h </w:instrText>
      </w:r>
      <w:r>
        <w:rPr>
          <w:rFonts w:hint="eastAsia" w:ascii="仿宋_GB2312" w:eastAsia="仿宋_GB2312"/>
          <w:sz w:val="32"/>
          <w:szCs w:val="32"/>
        </w:rPr>
        <w:fldChar w:fldCharType="separate"/>
      </w:r>
      <w:r>
        <w:rPr>
          <w:rFonts w:ascii="仿宋_GB2312" w:eastAsia="仿宋_GB2312"/>
          <w:sz w:val="32"/>
          <w:szCs w:val="32"/>
        </w:rPr>
        <w:t>25</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"_Toc142062809" </w:instrText>
      </w:r>
      <w:r>
        <w:fldChar w:fldCharType="separate"/>
      </w:r>
      <w:r>
        <w:rPr>
          <w:rStyle w:val="16"/>
          <w:rFonts w:hint="eastAsia" w:ascii="仿宋_GB2312" w:hAnsi="黑体" w:eastAsia="仿宋_GB2312"/>
          <w:kern w:val="44"/>
          <w:sz w:val="32"/>
          <w:szCs w:val="32"/>
        </w:rPr>
        <w:t>（一）招标文件及合同未对时花品种、花色做出约定，不利于丰富时花品种</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_Toc142062809 \h </w:instrText>
      </w:r>
      <w:r>
        <w:rPr>
          <w:rFonts w:hint="eastAsia" w:ascii="仿宋_GB2312" w:eastAsia="仿宋_GB2312"/>
          <w:sz w:val="32"/>
          <w:szCs w:val="32"/>
        </w:rPr>
        <w:fldChar w:fldCharType="separate"/>
      </w:r>
      <w:r>
        <w:rPr>
          <w:rFonts w:ascii="仿宋_GB2312" w:eastAsia="仿宋_GB2312"/>
          <w:sz w:val="32"/>
          <w:szCs w:val="32"/>
        </w:rPr>
        <w:t>25</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"_Toc142062810" </w:instrText>
      </w:r>
      <w:r>
        <w:fldChar w:fldCharType="separate"/>
      </w:r>
      <w:r>
        <w:rPr>
          <w:rStyle w:val="16"/>
          <w:rFonts w:hint="eastAsia" w:ascii="仿宋_GB2312" w:hAnsi="黑体" w:eastAsia="仿宋_GB2312"/>
          <w:kern w:val="44"/>
          <w:sz w:val="32"/>
          <w:szCs w:val="32"/>
        </w:rPr>
        <w:t>（二）对供应商的考核、管理有待进一步加强</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_Toc142062810 \h </w:instrText>
      </w:r>
      <w:r>
        <w:rPr>
          <w:rFonts w:hint="eastAsia" w:ascii="仿宋_GB2312" w:eastAsia="仿宋_GB2312"/>
          <w:sz w:val="32"/>
          <w:szCs w:val="32"/>
        </w:rPr>
        <w:fldChar w:fldCharType="separate"/>
      </w:r>
      <w:r>
        <w:rPr>
          <w:rFonts w:ascii="仿宋_GB2312" w:eastAsia="仿宋_GB2312"/>
          <w:sz w:val="32"/>
          <w:szCs w:val="32"/>
        </w:rPr>
        <w:t>25</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"_Toc142062811" </w:instrText>
      </w:r>
      <w:r>
        <w:fldChar w:fldCharType="separate"/>
      </w:r>
      <w:r>
        <w:rPr>
          <w:rStyle w:val="16"/>
          <w:rFonts w:hint="eastAsia" w:ascii="仿宋_GB2312" w:hAnsi="黑体" w:eastAsia="仿宋_GB2312"/>
          <w:kern w:val="44"/>
          <w:sz w:val="32"/>
          <w:szCs w:val="32"/>
        </w:rPr>
        <w:t>（三）项目成本可以进一步优化</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_Toc142062811 \h </w:instrText>
      </w:r>
      <w:r>
        <w:rPr>
          <w:rFonts w:hint="eastAsia" w:ascii="仿宋_GB2312" w:eastAsia="仿宋_GB2312"/>
          <w:sz w:val="32"/>
          <w:szCs w:val="32"/>
        </w:rPr>
        <w:fldChar w:fldCharType="separate"/>
      </w:r>
      <w:r>
        <w:rPr>
          <w:rFonts w:ascii="仿宋_GB2312" w:eastAsia="仿宋_GB2312"/>
          <w:sz w:val="32"/>
          <w:szCs w:val="32"/>
        </w:rPr>
        <w:t>26</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"_Toc142062812" </w:instrText>
      </w:r>
      <w:r>
        <w:fldChar w:fldCharType="separate"/>
      </w:r>
      <w:r>
        <w:rPr>
          <w:rStyle w:val="16"/>
          <w:rFonts w:hint="eastAsia" w:ascii="仿宋_GB2312" w:hAnsi="黑体" w:eastAsia="仿宋_GB2312"/>
          <w:kern w:val="44"/>
          <w:sz w:val="32"/>
          <w:szCs w:val="32"/>
        </w:rPr>
        <w:t>（四）款项支付方式与合同约定不符</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_Toc142062812 \h </w:instrText>
      </w:r>
      <w:r>
        <w:rPr>
          <w:rFonts w:hint="eastAsia" w:ascii="仿宋_GB2312" w:eastAsia="仿宋_GB2312"/>
          <w:sz w:val="32"/>
          <w:szCs w:val="32"/>
        </w:rPr>
        <w:fldChar w:fldCharType="separate"/>
      </w:r>
      <w:r>
        <w:rPr>
          <w:rFonts w:ascii="仿宋_GB2312" w:eastAsia="仿宋_GB2312"/>
          <w:sz w:val="32"/>
          <w:szCs w:val="32"/>
        </w:rPr>
        <w:t>26</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"_Toc142062813" </w:instrText>
      </w:r>
      <w:r>
        <w:fldChar w:fldCharType="separate"/>
      </w:r>
      <w:r>
        <w:rPr>
          <w:rStyle w:val="16"/>
          <w:rFonts w:hint="eastAsia" w:ascii="仿宋_GB2312" w:hAnsi="黑体" w:eastAsia="仿宋_GB2312"/>
          <w:kern w:val="44"/>
          <w:sz w:val="32"/>
          <w:szCs w:val="32"/>
        </w:rPr>
        <w:t>（五）时花种植地点可以进一步优化</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_Toc142062813 \h </w:instrText>
      </w:r>
      <w:r>
        <w:rPr>
          <w:rFonts w:hint="eastAsia" w:ascii="仿宋_GB2312" w:eastAsia="仿宋_GB2312"/>
          <w:sz w:val="32"/>
          <w:szCs w:val="32"/>
        </w:rPr>
        <w:fldChar w:fldCharType="separate"/>
      </w:r>
      <w:r>
        <w:rPr>
          <w:rFonts w:ascii="仿宋_GB2312" w:eastAsia="仿宋_GB2312"/>
          <w:sz w:val="32"/>
          <w:szCs w:val="32"/>
        </w:rPr>
        <w:t>27</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8"/>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"_Toc142062814" </w:instrText>
      </w:r>
      <w:r>
        <w:fldChar w:fldCharType="separate"/>
      </w:r>
      <w:r>
        <w:rPr>
          <w:rStyle w:val="16"/>
          <w:rFonts w:hint="eastAsia" w:ascii="仿宋_GB2312" w:eastAsia="仿宋_GB2312"/>
          <w:sz w:val="32"/>
          <w:szCs w:val="32"/>
        </w:rPr>
        <w:t>六、主要相关建议</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_Toc142062814 \h </w:instrText>
      </w:r>
      <w:r>
        <w:rPr>
          <w:rFonts w:hint="eastAsia" w:ascii="仿宋_GB2312" w:eastAsia="仿宋_GB2312"/>
          <w:sz w:val="32"/>
          <w:szCs w:val="32"/>
        </w:rPr>
        <w:fldChar w:fldCharType="separate"/>
      </w:r>
      <w:r>
        <w:rPr>
          <w:rFonts w:ascii="仿宋_GB2312" w:eastAsia="仿宋_GB2312"/>
          <w:sz w:val="32"/>
          <w:szCs w:val="32"/>
        </w:rPr>
        <w:t>27</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"_Toc142062815" </w:instrText>
      </w:r>
      <w:r>
        <w:fldChar w:fldCharType="separate"/>
      </w:r>
      <w:r>
        <w:rPr>
          <w:rStyle w:val="16"/>
          <w:rFonts w:hint="eastAsia" w:ascii="仿宋_GB2312" w:hAnsi="黑体" w:eastAsia="仿宋_GB2312"/>
          <w:kern w:val="44"/>
          <w:sz w:val="32"/>
          <w:szCs w:val="32"/>
        </w:rPr>
        <w:t>（一）细化招标文件，提升采购质量</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_Toc142062815 \h </w:instrText>
      </w:r>
      <w:r>
        <w:rPr>
          <w:rFonts w:hint="eastAsia" w:ascii="仿宋_GB2312" w:eastAsia="仿宋_GB2312"/>
          <w:sz w:val="32"/>
          <w:szCs w:val="32"/>
        </w:rPr>
        <w:fldChar w:fldCharType="separate"/>
      </w:r>
      <w:r>
        <w:rPr>
          <w:rFonts w:ascii="仿宋_GB2312" w:eastAsia="仿宋_GB2312"/>
          <w:sz w:val="32"/>
          <w:szCs w:val="32"/>
        </w:rPr>
        <w:t>27</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"_Toc142062816" </w:instrText>
      </w:r>
      <w:r>
        <w:fldChar w:fldCharType="separate"/>
      </w:r>
      <w:r>
        <w:rPr>
          <w:rStyle w:val="16"/>
          <w:rFonts w:hint="eastAsia" w:ascii="仿宋_GB2312" w:hAnsi="黑体" w:eastAsia="仿宋_GB2312"/>
          <w:kern w:val="44"/>
          <w:sz w:val="32"/>
          <w:szCs w:val="32"/>
        </w:rPr>
        <w:t>（二）完善考核管理机制，提升供应商服务水平</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_Toc142062816 \h </w:instrText>
      </w:r>
      <w:r>
        <w:rPr>
          <w:rFonts w:hint="eastAsia" w:ascii="仿宋_GB2312" w:eastAsia="仿宋_GB2312"/>
          <w:sz w:val="32"/>
          <w:szCs w:val="32"/>
        </w:rPr>
        <w:fldChar w:fldCharType="separate"/>
      </w:r>
      <w:r>
        <w:rPr>
          <w:rFonts w:ascii="仿宋_GB2312" w:eastAsia="仿宋_GB2312"/>
          <w:sz w:val="32"/>
          <w:szCs w:val="32"/>
        </w:rPr>
        <w:t>28</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"_Toc142062817" </w:instrText>
      </w:r>
      <w:r>
        <w:fldChar w:fldCharType="separate"/>
      </w:r>
      <w:r>
        <w:rPr>
          <w:rStyle w:val="16"/>
          <w:rFonts w:hint="eastAsia" w:ascii="仿宋_GB2312" w:hAnsi="黑体" w:eastAsia="仿宋_GB2312"/>
          <w:kern w:val="44"/>
          <w:sz w:val="32"/>
          <w:szCs w:val="32"/>
        </w:rPr>
        <w:t>（三）压缩采购成本，降本增效</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_Toc142062817 \h </w:instrText>
      </w:r>
      <w:r>
        <w:rPr>
          <w:rFonts w:hint="eastAsia" w:ascii="仿宋_GB2312" w:eastAsia="仿宋_GB2312"/>
          <w:sz w:val="32"/>
          <w:szCs w:val="32"/>
        </w:rPr>
        <w:fldChar w:fldCharType="separate"/>
      </w:r>
      <w:r>
        <w:rPr>
          <w:rFonts w:ascii="仿宋_GB2312" w:eastAsia="仿宋_GB2312"/>
          <w:sz w:val="32"/>
          <w:szCs w:val="32"/>
        </w:rPr>
        <w:t>28</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"_Toc142062818" </w:instrText>
      </w:r>
      <w:r>
        <w:fldChar w:fldCharType="separate"/>
      </w:r>
      <w:r>
        <w:rPr>
          <w:rStyle w:val="16"/>
          <w:rFonts w:hint="eastAsia" w:ascii="仿宋_GB2312" w:hAnsi="黑体" w:eastAsia="仿宋_GB2312"/>
          <w:kern w:val="44"/>
          <w:sz w:val="32"/>
          <w:szCs w:val="32"/>
        </w:rPr>
        <w:t>（四）按照合同约定，规范支付款项</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_Toc142062818 \h </w:instrText>
      </w:r>
      <w:r>
        <w:rPr>
          <w:rFonts w:hint="eastAsia" w:ascii="仿宋_GB2312" w:eastAsia="仿宋_GB2312"/>
          <w:sz w:val="32"/>
          <w:szCs w:val="32"/>
        </w:rPr>
        <w:fldChar w:fldCharType="separate"/>
      </w:r>
      <w:r>
        <w:rPr>
          <w:rFonts w:ascii="仿宋_GB2312" w:eastAsia="仿宋_GB2312"/>
          <w:sz w:val="32"/>
          <w:szCs w:val="32"/>
        </w:rPr>
        <w:t>28</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"_Toc142062819" </w:instrText>
      </w:r>
      <w:r>
        <w:fldChar w:fldCharType="separate"/>
      </w:r>
      <w:r>
        <w:rPr>
          <w:rStyle w:val="16"/>
          <w:rFonts w:hint="eastAsia" w:ascii="仿宋_GB2312" w:hAnsi="黑体" w:eastAsia="仿宋_GB2312"/>
          <w:kern w:val="44"/>
          <w:sz w:val="32"/>
          <w:szCs w:val="32"/>
        </w:rPr>
        <w:t>（五）优化时花种植路段，提高财政资金使用效益</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_Toc142062819 \h </w:instrText>
      </w:r>
      <w:r>
        <w:rPr>
          <w:rFonts w:hint="eastAsia" w:ascii="仿宋_GB2312" w:eastAsia="仿宋_GB2312"/>
          <w:sz w:val="32"/>
          <w:szCs w:val="32"/>
        </w:rPr>
        <w:fldChar w:fldCharType="separate"/>
      </w:r>
      <w:r>
        <w:rPr>
          <w:rFonts w:ascii="仿宋_GB2312" w:eastAsia="仿宋_GB2312"/>
          <w:sz w:val="32"/>
          <w:szCs w:val="32"/>
        </w:rPr>
        <w:t>28</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8"/>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"_Toc142062820" </w:instrText>
      </w:r>
      <w:r>
        <w:fldChar w:fldCharType="separate"/>
      </w:r>
      <w:r>
        <w:rPr>
          <w:rStyle w:val="16"/>
          <w:rFonts w:hint="eastAsia" w:ascii="仿宋_GB2312" w:eastAsia="仿宋_GB2312"/>
          <w:sz w:val="32"/>
          <w:szCs w:val="32"/>
        </w:rPr>
        <w:t>七、其他说明</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_Toc142062820 \h </w:instrText>
      </w:r>
      <w:r>
        <w:rPr>
          <w:rFonts w:hint="eastAsia" w:ascii="仿宋_GB2312" w:eastAsia="仿宋_GB2312"/>
          <w:sz w:val="32"/>
          <w:szCs w:val="32"/>
        </w:rPr>
        <w:fldChar w:fldCharType="separate"/>
      </w:r>
      <w:r>
        <w:rPr>
          <w:rFonts w:ascii="仿宋_GB2312" w:eastAsia="仿宋_GB2312"/>
          <w:sz w:val="32"/>
          <w:szCs w:val="32"/>
        </w:rPr>
        <w:t>29</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"_Toc142062821" </w:instrText>
      </w:r>
      <w:r>
        <w:fldChar w:fldCharType="separate"/>
      </w:r>
      <w:r>
        <w:rPr>
          <w:rStyle w:val="16"/>
          <w:rFonts w:hint="eastAsia" w:ascii="仿宋_GB2312" w:hAnsi="黑体" w:eastAsia="仿宋_GB2312"/>
          <w:kern w:val="44"/>
          <w:sz w:val="32"/>
          <w:szCs w:val="32"/>
        </w:rPr>
        <w:t>（一）时花采购的必要性</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_Toc142062821 \h </w:instrText>
      </w:r>
      <w:r>
        <w:rPr>
          <w:rFonts w:hint="eastAsia" w:ascii="仿宋_GB2312" w:eastAsia="仿宋_GB2312"/>
          <w:sz w:val="32"/>
          <w:szCs w:val="32"/>
        </w:rPr>
        <w:fldChar w:fldCharType="separate"/>
      </w:r>
      <w:r>
        <w:rPr>
          <w:rFonts w:ascii="仿宋_GB2312" w:eastAsia="仿宋_GB2312"/>
          <w:sz w:val="32"/>
          <w:szCs w:val="32"/>
        </w:rPr>
        <w:t>29</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"_Toc142062822" </w:instrText>
      </w:r>
      <w:r>
        <w:fldChar w:fldCharType="separate"/>
      </w:r>
      <w:r>
        <w:rPr>
          <w:rStyle w:val="16"/>
          <w:rFonts w:hint="eastAsia" w:ascii="仿宋_GB2312" w:hAnsi="黑体" w:eastAsia="仿宋_GB2312"/>
          <w:kern w:val="44"/>
          <w:sz w:val="32"/>
          <w:szCs w:val="32"/>
        </w:rPr>
        <w:t>（二）时花采购项目相关照片</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_Toc142062822 \h </w:instrText>
      </w:r>
      <w:r>
        <w:rPr>
          <w:rFonts w:hint="eastAsia" w:ascii="仿宋_GB2312" w:eastAsia="仿宋_GB2312"/>
          <w:sz w:val="32"/>
          <w:szCs w:val="32"/>
        </w:rPr>
        <w:fldChar w:fldCharType="separate"/>
      </w:r>
      <w:r>
        <w:rPr>
          <w:rFonts w:ascii="仿宋_GB2312" w:eastAsia="仿宋_GB2312"/>
          <w:sz w:val="32"/>
          <w:szCs w:val="32"/>
        </w:rPr>
        <w:t>29</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8"/>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"_Toc142062824" </w:instrText>
      </w:r>
      <w:r>
        <w:fldChar w:fldCharType="separate"/>
      </w:r>
      <w:r>
        <w:rPr>
          <w:rStyle w:val="16"/>
          <w:rFonts w:hint="eastAsia" w:ascii="仿宋_GB2312" w:eastAsia="仿宋_GB2312"/>
          <w:sz w:val="32"/>
          <w:szCs w:val="32"/>
        </w:rPr>
        <w:t>八、附件</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_Toc142062824 \h </w:instrText>
      </w:r>
      <w:r>
        <w:rPr>
          <w:rFonts w:hint="eastAsia" w:ascii="仿宋_GB2312" w:eastAsia="仿宋_GB2312"/>
          <w:sz w:val="32"/>
          <w:szCs w:val="32"/>
        </w:rPr>
        <w:fldChar w:fldCharType="separate"/>
      </w:r>
      <w:r>
        <w:rPr>
          <w:rFonts w:ascii="仿宋_GB2312" w:eastAsia="仿宋_GB2312"/>
          <w:sz w:val="32"/>
          <w:szCs w:val="32"/>
        </w:rPr>
        <w:t>31</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"_Toc142062825" </w:instrText>
      </w:r>
      <w:r>
        <w:fldChar w:fldCharType="separate"/>
      </w:r>
      <w:r>
        <w:rPr>
          <w:rStyle w:val="16"/>
          <w:rFonts w:hint="eastAsia" w:ascii="仿宋_GB2312" w:hAnsi="黑体" w:eastAsia="仿宋_GB2312"/>
          <w:kern w:val="44"/>
          <w:sz w:val="32"/>
          <w:szCs w:val="32"/>
        </w:rPr>
        <w:t>附件（一）指标体系</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_Toc142062825 \h </w:instrText>
      </w:r>
      <w:r>
        <w:rPr>
          <w:rFonts w:hint="eastAsia" w:ascii="仿宋_GB2312" w:eastAsia="仿宋_GB2312"/>
          <w:sz w:val="32"/>
          <w:szCs w:val="32"/>
        </w:rPr>
        <w:fldChar w:fldCharType="separate"/>
      </w:r>
      <w:r>
        <w:rPr>
          <w:rFonts w:ascii="仿宋_GB2312" w:eastAsia="仿宋_GB2312"/>
          <w:sz w:val="32"/>
          <w:szCs w:val="32"/>
        </w:rPr>
        <w:t>31</w:t>
      </w:r>
      <w:r>
        <w:rPr>
          <w:rFonts w:hint="eastAsia" w:ascii="仿宋_GB2312" w:eastAsia="仿宋_GB2312"/>
          <w:sz w:val="32"/>
          <w:szCs w:val="32"/>
        </w:rPr>
        <w:fldChar w:fldCharType="end"/>
      </w:r>
      <w:r>
        <w:rPr>
          <w:rFonts w:hint="eastAsia" w:ascii="仿宋_GB2312" w:eastAsia="仿宋_GB2312"/>
          <w:sz w:val="32"/>
          <w:szCs w:val="32"/>
        </w:rPr>
        <w:fldChar w:fldCharType="end"/>
      </w:r>
    </w:p>
    <w:p>
      <w:pPr>
        <w:pStyle w:val="10"/>
        <w:tabs>
          <w:tab w:val="right" w:leader="dot" w:pos="8296"/>
        </w:tabs>
        <w:spacing w:line="360" w:lineRule="auto"/>
        <w:rPr>
          <w:rFonts w:ascii="仿宋_GB2312" w:eastAsia="仿宋_GB2312" w:hAnsiTheme="minorHAnsi" w:cstheme="minorBidi"/>
          <w:sz w:val="32"/>
          <w:szCs w:val="32"/>
          <w14:ligatures w14:val="standardContextual"/>
        </w:rPr>
      </w:pPr>
      <w:r>
        <w:fldChar w:fldCharType="begin"/>
      </w:r>
      <w:r>
        <w:instrText xml:space="preserve"> HYPERLINK \l "_Toc142062826" </w:instrText>
      </w:r>
      <w:r>
        <w:fldChar w:fldCharType="separate"/>
      </w:r>
      <w:r>
        <w:rPr>
          <w:rStyle w:val="16"/>
          <w:rFonts w:hint="eastAsia" w:ascii="仿宋_GB2312" w:hAnsi="黑体" w:eastAsia="仿宋_GB2312"/>
          <w:kern w:val="44"/>
          <w:sz w:val="32"/>
          <w:szCs w:val="32"/>
        </w:rPr>
        <w:t>附件（二）满意度调查问卷</w:t>
      </w:r>
      <w:r>
        <w:rPr>
          <w:rFonts w:hint="eastAsia" w:ascii="仿宋_GB2312" w:eastAsia="仿宋_GB2312"/>
          <w:sz w:val="32"/>
          <w:szCs w:val="32"/>
        </w:rPr>
        <w:tab/>
      </w:r>
      <w:r>
        <w:rPr>
          <w:rFonts w:hint="eastAsia" w:ascii="仿宋_GB2312" w:eastAsia="仿宋_GB2312"/>
          <w:sz w:val="32"/>
          <w:szCs w:val="32"/>
        </w:rPr>
        <w:fldChar w:fldCharType="begin"/>
      </w:r>
      <w:r>
        <w:rPr>
          <w:rFonts w:hint="eastAsia" w:ascii="仿宋_GB2312" w:eastAsia="仿宋_GB2312"/>
          <w:sz w:val="32"/>
          <w:szCs w:val="32"/>
        </w:rPr>
        <w:instrText xml:space="preserve"> PAGEREF _Toc142062826 \h </w:instrText>
      </w:r>
      <w:r>
        <w:rPr>
          <w:rFonts w:hint="eastAsia" w:ascii="仿宋_GB2312" w:eastAsia="仿宋_GB2312"/>
          <w:sz w:val="32"/>
          <w:szCs w:val="32"/>
        </w:rPr>
        <w:fldChar w:fldCharType="separate"/>
      </w:r>
      <w:r>
        <w:rPr>
          <w:rFonts w:ascii="仿宋_GB2312" w:eastAsia="仿宋_GB2312"/>
          <w:sz w:val="32"/>
          <w:szCs w:val="32"/>
        </w:rPr>
        <w:t>39</w:t>
      </w:r>
      <w:r>
        <w:rPr>
          <w:rFonts w:hint="eastAsia" w:ascii="仿宋_GB2312" w:eastAsia="仿宋_GB2312"/>
          <w:sz w:val="32"/>
          <w:szCs w:val="32"/>
        </w:rPr>
        <w:fldChar w:fldCharType="end"/>
      </w:r>
      <w:r>
        <w:rPr>
          <w:rFonts w:hint="eastAsia" w:ascii="仿宋_GB2312" w:eastAsia="仿宋_GB2312"/>
          <w:sz w:val="32"/>
          <w:szCs w:val="32"/>
        </w:rPr>
        <w:fldChar w:fldCharType="end"/>
      </w:r>
    </w:p>
    <w:p>
      <w:pPr>
        <w:spacing w:line="640" w:lineRule="exact"/>
        <w:rPr>
          <w:rFonts w:ascii="仿宋_GB2312" w:hAnsi="宋体" w:eastAsia="仿宋_GB2312"/>
          <w:sz w:val="32"/>
          <w:szCs w:val="32"/>
        </w:rPr>
      </w:pPr>
      <w:r>
        <w:rPr>
          <w:rFonts w:hint="eastAsia" w:ascii="仿宋_GB2312" w:hAnsi="仿宋" w:eastAsia="仿宋_GB2312"/>
          <w:sz w:val="32"/>
          <w:szCs w:val="32"/>
          <w:lang w:val="zh-CN"/>
        </w:rPr>
        <w:fldChar w:fldCharType="end"/>
      </w:r>
    </w:p>
    <w:p>
      <w:pPr>
        <w:spacing w:line="560" w:lineRule="exact"/>
        <w:rPr>
          <w:rFonts w:ascii="黑体" w:hAnsi="黑体" w:eastAsia="黑体"/>
          <w:sz w:val="36"/>
          <w:szCs w:val="36"/>
        </w:rPr>
        <w:sectPr>
          <w:pgSz w:w="11906" w:h="16838"/>
          <w:pgMar w:top="1440" w:right="1800" w:bottom="1440" w:left="1800" w:header="851" w:footer="992" w:gutter="0"/>
          <w:cols w:space="720" w:num="1"/>
          <w:docGrid w:type="lines" w:linePitch="312" w:charSpace="0"/>
        </w:sectPr>
      </w:pPr>
    </w:p>
    <w:p>
      <w:pPr>
        <w:spacing w:line="560" w:lineRule="exact"/>
        <w:jc w:val="center"/>
        <w:rPr>
          <w:rFonts w:ascii="方正小标宋简体" w:hAnsi="黑体" w:eastAsia="方正小标宋简体"/>
          <w:color w:val="000000"/>
          <w:sz w:val="36"/>
          <w:szCs w:val="36"/>
        </w:rPr>
      </w:pPr>
      <w:r>
        <w:rPr>
          <w:rFonts w:hint="eastAsia" w:ascii="方正小标宋简体" w:hAnsi="黑体" w:eastAsia="方正小标宋简体"/>
          <w:color w:val="000000"/>
          <w:sz w:val="36"/>
          <w:szCs w:val="36"/>
        </w:rPr>
        <w:t>石狮市2022年度时花采购项目财政支出</w:t>
      </w:r>
    </w:p>
    <w:p>
      <w:pPr>
        <w:spacing w:line="560" w:lineRule="exact"/>
        <w:jc w:val="center"/>
        <w:rPr>
          <w:rFonts w:ascii="方正小标宋简体" w:hAnsi="黑体" w:eastAsia="方正小标宋简体"/>
          <w:color w:val="000000"/>
          <w:sz w:val="36"/>
          <w:szCs w:val="36"/>
        </w:rPr>
      </w:pPr>
      <w:r>
        <w:rPr>
          <w:rFonts w:hint="eastAsia" w:ascii="方正小标宋简体" w:hAnsi="黑体" w:eastAsia="方正小标宋简体"/>
          <w:color w:val="000000"/>
          <w:sz w:val="36"/>
          <w:szCs w:val="36"/>
        </w:rPr>
        <w:t>重点绩效评价报告</w:t>
      </w:r>
    </w:p>
    <w:p>
      <w:pPr>
        <w:spacing w:line="560" w:lineRule="exact"/>
        <w:jc w:val="center"/>
        <w:rPr>
          <w:rFonts w:ascii="黑体" w:hAnsi="黑体" w:eastAsia="黑体"/>
          <w:color w:val="000000"/>
          <w:sz w:val="36"/>
          <w:szCs w:val="36"/>
        </w:rPr>
      </w:pPr>
    </w:p>
    <w:p>
      <w:pPr>
        <w:spacing w:line="360" w:lineRule="auto"/>
        <w:ind w:firstLine="640" w:firstLineChars="200"/>
        <w:rPr>
          <w:rFonts w:ascii="仿宋_GB2312" w:eastAsia="仿宋_GB2312"/>
          <w:sz w:val="32"/>
          <w:szCs w:val="32"/>
        </w:rPr>
      </w:pPr>
      <w:r>
        <w:rPr>
          <w:rFonts w:hint="eastAsia" w:ascii="仿宋_GB2312" w:eastAsia="仿宋_GB2312"/>
          <w:sz w:val="32"/>
          <w:szCs w:val="32"/>
        </w:rPr>
        <w:t>为全面了解项目财政支出</w:t>
      </w:r>
      <w:r>
        <w:rPr>
          <w:rFonts w:ascii="仿宋_GB2312" w:eastAsia="仿宋_GB2312"/>
          <w:sz w:val="32"/>
          <w:szCs w:val="32"/>
        </w:rPr>
        <w:t>资金</w:t>
      </w:r>
      <w:r>
        <w:rPr>
          <w:rFonts w:hint="eastAsia" w:ascii="仿宋_GB2312" w:eastAsia="仿宋_GB2312"/>
          <w:sz w:val="32"/>
          <w:szCs w:val="32"/>
        </w:rPr>
        <w:t>使用绩效，加强财政资金使用情况的绩效考核，根据《项目支出绩效评价管理办法》（财预〔2020〕10号）、《中共泉州市委办公室、泉州市人民政府办公室关于印发&lt;关于全面实施预算绩效管理的若干措施&gt;的通知（泉委办发〔2019〕</w:t>
      </w:r>
      <w:r>
        <w:rPr>
          <w:rFonts w:ascii="仿宋_GB2312" w:eastAsia="仿宋_GB2312"/>
          <w:sz w:val="32"/>
          <w:szCs w:val="32"/>
        </w:rPr>
        <w:t>42</w:t>
      </w:r>
      <w:r>
        <w:rPr>
          <w:rFonts w:hint="eastAsia" w:ascii="仿宋_GB2312" w:eastAsia="仿宋_GB2312"/>
          <w:sz w:val="32"/>
          <w:szCs w:val="32"/>
        </w:rPr>
        <w:t>号）、《中共石狮市委办公室、石狮市人民政府办公室关于印发&lt;石狮市全面实施预算绩效管理工作措施&gt;的通知》（狮委办发〔201</w:t>
      </w:r>
      <w:r>
        <w:rPr>
          <w:rFonts w:ascii="仿宋_GB2312" w:eastAsia="仿宋_GB2312"/>
          <w:sz w:val="32"/>
          <w:szCs w:val="32"/>
        </w:rPr>
        <w:t>9</w:t>
      </w:r>
      <w:r>
        <w:rPr>
          <w:rFonts w:hint="eastAsia" w:ascii="仿宋_GB2312" w:eastAsia="仿宋_GB2312"/>
          <w:sz w:val="32"/>
          <w:szCs w:val="32"/>
        </w:rPr>
        <w:t>〕</w:t>
      </w:r>
      <w:r>
        <w:rPr>
          <w:rFonts w:ascii="仿宋_GB2312" w:eastAsia="仿宋_GB2312"/>
          <w:sz w:val="32"/>
          <w:szCs w:val="32"/>
        </w:rPr>
        <w:t>12</w:t>
      </w:r>
      <w:r>
        <w:rPr>
          <w:rFonts w:hint="eastAsia" w:ascii="仿宋_GB2312" w:eastAsia="仿宋_GB2312"/>
          <w:sz w:val="32"/>
          <w:szCs w:val="32"/>
        </w:rPr>
        <w:t>号）文件要求，结合上级财政部门将绩效理念融入政府采购项目管理的指导精神，石狮市财政局委托第三方机构厦门市恒</w:t>
      </w:r>
      <w:r>
        <w:rPr>
          <w:rFonts w:hint="eastAsia" w:ascii="仿宋" w:hAnsi="仿宋" w:eastAsia="仿宋"/>
          <w:sz w:val="32"/>
          <w:szCs w:val="32"/>
        </w:rPr>
        <w:t>璟</w:t>
      </w:r>
      <w:r>
        <w:rPr>
          <w:rFonts w:hint="eastAsia" w:ascii="仿宋_GB2312" w:eastAsia="仿宋_GB2312"/>
          <w:sz w:val="32"/>
          <w:szCs w:val="32"/>
        </w:rPr>
        <w:t>管理顾问有限公司对石狮市2</w:t>
      </w:r>
      <w:r>
        <w:rPr>
          <w:rFonts w:ascii="仿宋_GB2312" w:eastAsia="仿宋_GB2312"/>
          <w:sz w:val="32"/>
          <w:szCs w:val="32"/>
        </w:rPr>
        <w:t>022</w:t>
      </w:r>
      <w:r>
        <w:rPr>
          <w:rFonts w:hint="eastAsia" w:ascii="仿宋_GB2312" w:eastAsia="仿宋_GB2312"/>
          <w:sz w:val="32"/>
          <w:szCs w:val="32"/>
        </w:rPr>
        <w:t>年度时花采购项目开展财政</w:t>
      </w:r>
      <w:r>
        <w:rPr>
          <w:rFonts w:ascii="仿宋_GB2312" w:eastAsia="仿宋_GB2312"/>
          <w:sz w:val="32"/>
          <w:szCs w:val="32"/>
        </w:rPr>
        <w:t>重点</w:t>
      </w:r>
      <w:r>
        <w:rPr>
          <w:rFonts w:hint="eastAsia" w:ascii="仿宋_GB2312" w:eastAsia="仿宋_GB2312"/>
          <w:sz w:val="32"/>
          <w:szCs w:val="32"/>
        </w:rPr>
        <w:t>绩效评价（政府采购项目绩效评价）。现将评价情况报告如下：</w:t>
      </w:r>
    </w:p>
    <w:p>
      <w:pPr>
        <w:pStyle w:val="2"/>
      </w:pPr>
      <w:bookmarkStart w:id="2" w:name="_Toc142062790"/>
      <w:r>
        <w:rPr>
          <w:rFonts w:hint="eastAsia"/>
        </w:rPr>
        <w:t>一、项目概述</w:t>
      </w:r>
      <w:bookmarkEnd w:id="2"/>
    </w:p>
    <w:p>
      <w:pPr>
        <w:pStyle w:val="3"/>
        <w:spacing w:before="0" w:after="0" w:line="360" w:lineRule="auto"/>
        <w:ind w:firstLine="642" w:firstLineChars="200"/>
        <w:rPr>
          <w:rFonts w:ascii="黑体" w:hAnsi="黑体" w:eastAsia="楷体"/>
          <w:kern w:val="44"/>
          <w:szCs w:val="30"/>
        </w:rPr>
      </w:pPr>
      <w:bookmarkStart w:id="3" w:name="_Toc142062791"/>
      <w:r>
        <w:rPr>
          <w:rFonts w:hint="eastAsia" w:ascii="黑体" w:hAnsi="黑体" w:eastAsia="楷体"/>
          <w:kern w:val="44"/>
          <w:szCs w:val="30"/>
        </w:rPr>
        <w:t>（一）项目概况</w:t>
      </w:r>
      <w:bookmarkEnd w:id="3"/>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石狮市是位于我国东南沿海的一座美丽宜人的滨海文明城市。多年来，石狮市坚守创建为民、创建惠民初心，通过创建全国文明城市，不断改善城市人居环境，全面增进广大人民群众的幸福感、获得感。荣膺全国文明城市“二连冠”、全国双拥模范城“六连冠”、中国十大活力县级城市、国家生态市等称号。</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石狮市历来重视城市景观建设工作，《石狮市2021年城乡建设品质提升实施方案》重点任务之一“风貌品质提升”中提出，持续推进生态连绵带建设，围绕“一环、两核、三廊”的生态空间结构，依托环湾湿地公园、宝盖山万亩城市公园以及红塔湾海岸公园等重要节点，着力打造一条以宝盖山为生态绿核的生态廊道，重点推进濠江路绿化提升（水头外线-香江路）、石永二路绿化提升等项目建设。实施石祥路、石锦路、石永路、石狮大道（高速口至水头外线连接段）等重要通道、节点的绿化提升项目，提升道路整体景观风貌。《2022年石狮市“抓城建提品质”专项行动方案》在景城融合打造方面提出，提升城市道路绿化景观，实施石狮高速口等进出城重要通道及重要节点景观提升工程，实施锦江外线等滨海景观项目，构建生态连绵带景观展示面。石狮市城市管理局根据单位工作职责于2</w:t>
      </w:r>
      <w:r>
        <w:rPr>
          <w:rFonts w:ascii="仿宋_GB2312" w:eastAsia="仿宋_GB2312"/>
          <w:sz w:val="32"/>
          <w:szCs w:val="32"/>
        </w:rPr>
        <w:t>021</w:t>
      </w:r>
      <w:r>
        <w:rPr>
          <w:rFonts w:hint="eastAsia" w:ascii="仿宋_GB2312" w:eastAsia="仿宋_GB2312"/>
          <w:sz w:val="32"/>
          <w:szCs w:val="32"/>
        </w:rPr>
        <w:t>年8月1</w:t>
      </w:r>
      <w:r>
        <w:rPr>
          <w:rFonts w:ascii="仿宋_GB2312" w:eastAsia="仿宋_GB2312"/>
          <w:sz w:val="32"/>
          <w:szCs w:val="32"/>
        </w:rPr>
        <w:t>5</w:t>
      </w:r>
      <w:r>
        <w:rPr>
          <w:rFonts w:hint="eastAsia" w:ascii="仿宋_GB2312" w:eastAsia="仿宋_GB2312"/>
          <w:sz w:val="32"/>
          <w:szCs w:val="32"/>
        </w:rPr>
        <w:t>日向石狮市人民政府提出《石狮市城市管理局关于2021年时花采购有关事项的请示》（狮城管</w:t>
      </w:r>
      <w:r>
        <w:rPr>
          <w:rFonts w:hint="eastAsia" w:ascii="宋体" w:hAnsi="宋体"/>
          <w:sz w:val="32"/>
          <w:szCs w:val="32"/>
        </w:rPr>
        <w:t>〔</w:t>
      </w:r>
      <w:r>
        <w:rPr>
          <w:rFonts w:hint="eastAsia" w:ascii="仿宋_GB2312" w:eastAsia="仿宋_GB2312"/>
          <w:sz w:val="32"/>
          <w:szCs w:val="32"/>
        </w:rPr>
        <w:t>2021</w:t>
      </w:r>
      <w:r>
        <w:rPr>
          <w:rFonts w:hint="eastAsia" w:ascii="宋体" w:hAnsi="宋体"/>
          <w:sz w:val="32"/>
          <w:szCs w:val="32"/>
        </w:rPr>
        <w:t>〕</w:t>
      </w:r>
      <w:r>
        <w:rPr>
          <w:rFonts w:hint="eastAsia" w:ascii="仿宋_GB2312" w:eastAsia="仿宋_GB2312"/>
          <w:sz w:val="32"/>
          <w:szCs w:val="32"/>
        </w:rPr>
        <w:t>56号），请示中提出，全市时花种植面积合计约2</w:t>
      </w:r>
      <w:r>
        <w:rPr>
          <w:rFonts w:ascii="仿宋_GB2312" w:eastAsia="仿宋_GB2312"/>
          <w:sz w:val="32"/>
          <w:szCs w:val="32"/>
        </w:rPr>
        <w:t>0000</w:t>
      </w:r>
      <w:r>
        <w:rPr>
          <w:rFonts w:hint="eastAsia" w:ascii="仿宋_GB2312" w:eastAsia="仿宋_GB2312"/>
          <w:sz w:val="32"/>
          <w:szCs w:val="32"/>
        </w:rPr>
        <w:t>平方米，为巩固现有养护成果，确保市容景观效果，需要及时更换。请示参考泉州、晋江等周边城市做法，时花由政府统一采购供应，拟通过公开采购招标、最低价中标原则确定时令花卉年度供应商，根据第三方预算和市场询价，拟定时令花卉招标控制价为1</w:t>
      </w:r>
      <w:r>
        <w:rPr>
          <w:rFonts w:ascii="仿宋_GB2312" w:eastAsia="仿宋_GB2312"/>
          <w:sz w:val="32"/>
          <w:szCs w:val="32"/>
        </w:rPr>
        <w:t>.2</w:t>
      </w:r>
      <w:r>
        <w:rPr>
          <w:rFonts w:hint="eastAsia" w:ascii="仿宋_GB2312" w:eastAsia="仿宋_GB2312"/>
          <w:sz w:val="32"/>
          <w:szCs w:val="32"/>
        </w:rPr>
        <w:t>元/株，招标控制总价为6</w:t>
      </w:r>
      <w:r>
        <w:rPr>
          <w:rFonts w:ascii="仿宋_GB2312" w:eastAsia="仿宋_GB2312"/>
          <w:sz w:val="32"/>
          <w:szCs w:val="32"/>
        </w:rPr>
        <w:t>90</w:t>
      </w:r>
      <w:r>
        <w:rPr>
          <w:rFonts w:hint="eastAsia" w:ascii="仿宋_GB2312" w:eastAsia="仿宋_GB2312"/>
          <w:sz w:val="32"/>
          <w:szCs w:val="32"/>
        </w:rPr>
        <w:t>万元/年，所需经费按年度供花量按实结算，相关资金由市财政核拨。</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石狮市人民政府相关领导阅示后，市政府办公室于2</w:t>
      </w:r>
      <w:r>
        <w:rPr>
          <w:rFonts w:ascii="仿宋_GB2312" w:eastAsia="仿宋_GB2312"/>
          <w:sz w:val="32"/>
          <w:szCs w:val="32"/>
        </w:rPr>
        <w:t>021</w:t>
      </w:r>
      <w:r>
        <w:rPr>
          <w:rFonts w:hint="eastAsia" w:ascii="仿宋_GB2312" w:eastAsia="仿宋_GB2312"/>
          <w:sz w:val="32"/>
          <w:szCs w:val="32"/>
        </w:rPr>
        <w:t>年</w:t>
      </w:r>
      <w:r>
        <w:rPr>
          <w:rFonts w:ascii="仿宋_GB2312" w:eastAsia="仿宋_GB2312"/>
          <w:sz w:val="32"/>
          <w:szCs w:val="32"/>
        </w:rPr>
        <w:t>8</w:t>
      </w:r>
      <w:r>
        <w:rPr>
          <w:rFonts w:hint="eastAsia" w:ascii="仿宋_GB2312" w:eastAsia="仿宋_GB2312"/>
          <w:sz w:val="32"/>
          <w:szCs w:val="32"/>
        </w:rPr>
        <w:t>月2</w:t>
      </w:r>
      <w:r>
        <w:rPr>
          <w:rFonts w:ascii="仿宋_GB2312" w:eastAsia="仿宋_GB2312"/>
          <w:sz w:val="32"/>
          <w:szCs w:val="32"/>
        </w:rPr>
        <w:t>4</w:t>
      </w:r>
      <w:r>
        <w:rPr>
          <w:rFonts w:hint="eastAsia" w:ascii="仿宋_GB2312" w:eastAsia="仿宋_GB2312"/>
          <w:sz w:val="32"/>
          <w:szCs w:val="32"/>
        </w:rPr>
        <w:t>日出具编号为S-</w:t>
      </w:r>
      <w:r>
        <w:rPr>
          <w:rFonts w:ascii="仿宋_GB2312" w:eastAsia="仿宋_GB2312"/>
          <w:sz w:val="32"/>
          <w:szCs w:val="32"/>
        </w:rPr>
        <w:t>404</w:t>
      </w:r>
      <w:r>
        <w:rPr>
          <w:rFonts w:hint="eastAsia" w:ascii="仿宋_GB2312" w:eastAsia="仿宋_GB2312"/>
          <w:sz w:val="32"/>
          <w:szCs w:val="32"/>
        </w:rPr>
        <w:t>-</w:t>
      </w:r>
      <w:r>
        <w:rPr>
          <w:rFonts w:ascii="仿宋_GB2312" w:eastAsia="仿宋_GB2312"/>
          <w:sz w:val="32"/>
          <w:szCs w:val="32"/>
        </w:rPr>
        <w:t>2021</w:t>
      </w:r>
      <w:r>
        <w:rPr>
          <w:rFonts w:hint="eastAsia" w:ascii="仿宋_GB2312" w:eastAsia="仿宋_GB2312"/>
          <w:sz w:val="32"/>
          <w:szCs w:val="32"/>
        </w:rPr>
        <w:t>的市领导批示件交办单，请市财政局提交反馈意见。2</w:t>
      </w:r>
      <w:r>
        <w:rPr>
          <w:rFonts w:ascii="仿宋_GB2312" w:eastAsia="仿宋_GB2312"/>
          <w:sz w:val="32"/>
          <w:szCs w:val="32"/>
        </w:rPr>
        <w:t>021</w:t>
      </w:r>
      <w:r>
        <w:rPr>
          <w:rFonts w:hint="eastAsia" w:ascii="仿宋_GB2312" w:eastAsia="仿宋_GB2312"/>
          <w:sz w:val="32"/>
          <w:szCs w:val="32"/>
        </w:rPr>
        <w:t>年</w:t>
      </w:r>
      <w:r>
        <w:rPr>
          <w:rFonts w:ascii="仿宋_GB2312" w:eastAsia="仿宋_GB2312"/>
          <w:sz w:val="32"/>
          <w:szCs w:val="32"/>
        </w:rPr>
        <w:t>8</w:t>
      </w:r>
      <w:r>
        <w:rPr>
          <w:rFonts w:hint="eastAsia" w:ascii="仿宋_GB2312" w:eastAsia="仿宋_GB2312"/>
          <w:sz w:val="32"/>
          <w:szCs w:val="32"/>
        </w:rPr>
        <w:t>月2</w:t>
      </w:r>
      <w:r>
        <w:rPr>
          <w:rFonts w:ascii="仿宋_GB2312" w:eastAsia="仿宋_GB2312"/>
          <w:sz w:val="32"/>
          <w:szCs w:val="32"/>
        </w:rPr>
        <w:t>7</w:t>
      </w:r>
      <w:r>
        <w:rPr>
          <w:rFonts w:hint="eastAsia" w:ascii="仿宋_GB2312" w:eastAsia="仿宋_GB2312"/>
          <w:sz w:val="32"/>
          <w:szCs w:val="32"/>
        </w:rPr>
        <w:t>日市财政局反馈：由于石狮市部分道路和口袋公园处于建设中，时花需求量随工程建设情况和庆典、节假日布置需求而变化，无法明确具体数量，因此此前石狮市绿化养护分别纳入石狮市环卫一体化P</w:t>
      </w:r>
      <w:r>
        <w:rPr>
          <w:rFonts w:ascii="仿宋_GB2312" w:eastAsia="仿宋_GB2312"/>
          <w:sz w:val="32"/>
          <w:szCs w:val="32"/>
        </w:rPr>
        <w:t>PP</w:t>
      </w:r>
      <w:r>
        <w:rPr>
          <w:rFonts w:hint="eastAsia" w:ascii="仿宋_GB2312" w:eastAsia="仿宋_GB2312"/>
          <w:sz w:val="32"/>
          <w:szCs w:val="32"/>
        </w:rPr>
        <w:t>项目和2</w:t>
      </w:r>
      <w:r>
        <w:rPr>
          <w:rFonts w:ascii="仿宋_GB2312" w:eastAsia="仿宋_GB2312"/>
          <w:sz w:val="32"/>
          <w:szCs w:val="32"/>
        </w:rPr>
        <w:t>021</w:t>
      </w:r>
      <w:r>
        <w:rPr>
          <w:rFonts w:hint="eastAsia" w:ascii="仿宋_GB2312" w:eastAsia="仿宋_GB2312"/>
          <w:sz w:val="32"/>
          <w:szCs w:val="32"/>
        </w:rPr>
        <w:t>-</w:t>
      </w:r>
      <w:r>
        <w:rPr>
          <w:rFonts w:ascii="仿宋_GB2312" w:eastAsia="仿宋_GB2312"/>
          <w:sz w:val="32"/>
          <w:szCs w:val="32"/>
        </w:rPr>
        <w:t>2023</w:t>
      </w:r>
      <w:r>
        <w:rPr>
          <w:rFonts w:hint="eastAsia" w:ascii="仿宋_GB2312" w:eastAsia="仿宋_GB2312"/>
          <w:sz w:val="32"/>
          <w:szCs w:val="32"/>
        </w:rPr>
        <w:t>年度沿海五镇主要道路绿地养护项目作业内容，但并未将时花采购数量和金额预算加到上述项目中，而是参考泉州、晋江等周边城市做法，时花由政府采购供应，养护单位负责时花换植及后续养护。为确保后续石狮市时花供应及时，建议尽快组织，公开招标确定时花年度供应商。市相关领导同意市财政局的反馈意见，2</w:t>
      </w:r>
      <w:r>
        <w:rPr>
          <w:rFonts w:ascii="仿宋_GB2312" w:eastAsia="仿宋_GB2312"/>
          <w:sz w:val="32"/>
          <w:szCs w:val="32"/>
        </w:rPr>
        <w:t>021</w:t>
      </w:r>
      <w:r>
        <w:rPr>
          <w:rFonts w:hint="eastAsia" w:ascii="仿宋_GB2312" w:eastAsia="仿宋_GB2312"/>
          <w:sz w:val="32"/>
          <w:szCs w:val="32"/>
        </w:rPr>
        <w:t>年</w:t>
      </w:r>
      <w:r>
        <w:rPr>
          <w:rFonts w:ascii="仿宋_GB2312" w:eastAsia="仿宋_GB2312"/>
          <w:sz w:val="32"/>
          <w:szCs w:val="32"/>
        </w:rPr>
        <w:t>9</w:t>
      </w:r>
      <w:r>
        <w:rPr>
          <w:rFonts w:hint="eastAsia" w:ascii="仿宋_GB2312" w:eastAsia="仿宋_GB2312"/>
          <w:sz w:val="32"/>
          <w:szCs w:val="32"/>
        </w:rPr>
        <w:t>月</w:t>
      </w:r>
      <w:r>
        <w:rPr>
          <w:rFonts w:ascii="仿宋_GB2312" w:eastAsia="仿宋_GB2312"/>
          <w:sz w:val="32"/>
          <w:szCs w:val="32"/>
        </w:rPr>
        <w:t>3</w:t>
      </w:r>
      <w:r>
        <w:rPr>
          <w:rFonts w:hint="eastAsia" w:ascii="仿宋_GB2312" w:eastAsia="仿宋_GB2312"/>
          <w:sz w:val="32"/>
          <w:szCs w:val="32"/>
        </w:rPr>
        <w:t>日市政府办公室出具编号为S-</w:t>
      </w:r>
      <w:r>
        <w:rPr>
          <w:rFonts w:ascii="仿宋_GB2312" w:eastAsia="仿宋_GB2312"/>
          <w:sz w:val="32"/>
          <w:szCs w:val="32"/>
        </w:rPr>
        <w:t>404</w:t>
      </w:r>
      <w:r>
        <w:rPr>
          <w:rFonts w:hint="eastAsia" w:ascii="仿宋_GB2312" w:eastAsia="仿宋_GB2312"/>
          <w:sz w:val="32"/>
          <w:szCs w:val="32"/>
        </w:rPr>
        <w:t>-</w:t>
      </w:r>
      <w:r>
        <w:rPr>
          <w:rFonts w:ascii="仿宋_GB2312" w:eastAsia="仿宋_GB2312"/>
          <w:sz w:val="32"/>
          <w:szCs w:val="32"/>
        </w:rPr>
        <w:t>2</w:t>
      </w:r>
      <w:r>
        <w:rPr>
          <w:rFonts w:hint="eastAsia" w:ascii="仿宋_GB2312" w:eastAsia="仿宋_GB2312"/>
          <w:sz w:val="32"/>
          <w:szCs w:val="32"/>
        </w:rPr>
        <w:t>-</w:t>
      </w:r>
      <w:r>
        <w:rPr>
          <w:rFonts w:ascii="仿宋_GB2312" w:eastAsia="仿宋_GB2312"/>
          <w:sz w:val="32"/>
          <w:szCs w:val="32"/>
        </w:rPr>
        <w:t>2021</w:t>
      </w:r>
      <w:r>
        <w:rPr>
          <w:rFonts w:hint="eastAsia" w:ascii="仿宋_GB2312" w:eastAsia="仿宋_GB2312"/>
          <w:sz w:val="32"/>
          <w:szCs w:val="32"/>
        </w:rPr>
        <w:t>市领导批示件交办单，要求相关单位，按照领导批示精神抓好落实。</w:t>
      </w:r>
    </w:p>
    <w:p>
      <w:pPr>
        <w:pStyle w:val="3"/>
        <w:spacing w:before="0" w:after="0" w:line="360" w:lineRule="auto"/>
        <w:ind w:firstLine="642" w:firstLineChars="200"/>
        <w:rPr>
          <w:rFonts w:ascii="黑体" w:hAnsi="黑体" w:eastAsia="楷体"/>
          <w:kern w:val="44"/>
          <w:szCs w:val="30"/>
        </w:rPr>
      </w:pPr>
      <w:bookmarkStart w:id="4" w:name="_Toc142062792"/>
      <w:r>
        <w:rPr>
          <w:rFonts w:hint="eastAsia" w:ascii="黑体" w:hAnsi="黑体" w:eastAsia="楷体"/>
          <w:kern w:val="44"/>
          <w:szCs w:val="30"/>
        </w:rPr>
        <w:t>（二）项目资金</w:t>
      </w:r>
      <w:r>
        <w:rPr>
          <w:rFonts w:ascii="黑体" w:hAnsi="黑体" w:eastAsia="楷体"/>
          <w:kern w:val="44"/>
          <w:szCs w:val="30"/>
        </w:rPr>
        <w:t>情况</w:t>
      </w:r>
      <w:bookmarkEnd w:id="4"/>
    </w:p>
    <w:p>
      <w:pPr>
        <w:spacing w:line="360" w:lineRule="auto"/>
        <w:ind w:firstLine="640" w:firstLineChars="200"/>
        <w:rPr>
          <w:rFonts w:ascii="仿宋_GB2312" w:eastAsia="仿宋_GB2312"/>
          <w:sz w:val="32"/>
          <w:szCs w:val="32"/>
        </w:rPr>
      </w:pPr>
      <w:r>
        <w:rPr>
          <w:rFonts w:hint="eastAsia" w:ascii="仿宋_GB2312" w:eastAsia="仿宋_GB2312"/>
          <w:sz w:val="32"/>
          <w:szCs w:val="32"/>
        </w:rPr>
        <w:t>1</w:t>
      </w:r>
      <w:r>
        <w:rPr>
          <w:rFonts w:ascii="仿宋_GB2312" w:eastAsia="仿宋_GB2312"/>
          <w:sz w:val="32"/>
          <w:szCs w:val="32"/>
        </w:rPr>
        <w:t>.</w:t>
      </w:r>
      <w:r>
        <w:rPr>
          <w:rFonts w:hint="eastAsia" w:ascii="仿宋_GB2312" w:eastAsia="仿宋_GB2312"/>
          <w:sz w:val="32"/>
          <w:szCs w:val="32"/>
        </w:rPr>
        <w:t>项目</w:t>
      </w:r>
      <w:r>
        <w:rPr>
          <w:rFonts w:ascii="仿宋_GB2312" w:eastAsia="仿宋_GB2312"/>
          <w:sz w:val="32"/>
          <w:szCs w:val="32"/>
        </w:rPr>
        <w:t>资金</w:t>
      </w:r>
      <w:r>
        <w:rPr>
          <w:rFonts w:hint="eastAsia" w:ascii="仿宋_GB2312" w:eastAsia="仿宋_GB2312"/>
          <w:sz w:val="32"/>
          <w:szCs w:val="32"/>
        </w:rPr>
        <w:t>预算</w:t>
      </w:r>
      <w:r>
        <w:rPr>
          <w:rFonts w:ascii="仿宋_GB2312" w:eastAsia="仿宋_GB2312"/>
          <w:sz w:val="32"/>
          <w:szCs w:val="32"/>
        </w:rPr>
        <w:t>情况</w:t>
      </w:r>
    </w:p>
    <w:p>
      <w:pPr>
        <w:spacing w:line="360" w:lineRule="auto"/>
        <w:ind w:right="67" w:rightChars="32" w:firstLine="640" w:firstLineChars="200"/>
        <w:rPr>
          <w:rFonts w:ascii="仿宋_GB2312" w:eastAsia="仿宋_GB2312"/>
          <w:sz w:val="32"/>
          <w:szCs w:val="32"/>
        </w:rPr>
      </w:pPr>
      <w:r>
        <w:rPr>
          <w:rFonts w:hint="eastAsia" w:ascii="仿宋_GB2312" w:eastAsia="仿宋_GB2312"/>
          <w:sz w:val="32"/>
          <w:szCs w:val="32"/>
        </w:rPr>
        <w:t>石狮市财政局2</w:t>
      </w:r>
      <w:r>
        <w:rPr>
          <w:rFonts w:ascii="仿宋_GB2312" w:eastAsia="仿宋_GB2312"/>
          <w:sz w:val="32"/>
          <w:szCs w:val="32"/>
        </w:rPr>
        <w:t>021</w:t>
      </w:r>
      <w:r>
        <w:rPr>
          <w:rFonts w:hint="eastAsia" w:ascii="仿宋_GB2312" w:eastAsia="仿宋_GB2312"/>
          <w:sz w:val="32"/>
          <w:szCs w:val="32"/>
        </w:rPr>
        <w:t>年9月</w:t>
      </w:r>
      <w:r>
        <w:rPr>
          <w:rFonts w:ascii="仿宋_GB2312" w:eastAsia="仿宋_GB2312"/>
          <w:sz w:val="32"/>
          <w:szCs w:val="32"/>
        </w:rPr>
        <w:t>8</w:t>
      </w:r>
      <w:r>
        <w:rPr>
          <w:rFonts w:hint="eastAsia" w:ascii="仿宋_GB2312" w:eastAsia="仿宋_GB2312"/>
          <w:sz w:val="32"/>
          <w:szCs w:val="32"/>
        </w:rPr>
        <w:t>日出具政府采购预算审批表，批复项目采购数量2</w:t>
      </w:r>
      <w:r>
        <w:rPr>
          <w:rFonts w:ascii="仿宋_GB2312" w:eastAsia="仿宋_GB2312"/>
          <w:sz w:val="32"/>
          <w:szCs w:val="32"/>
        </w:rPr>
        <w:t>0000</w:t>
      </w:r>
      <w:r>
        <w:rPr>
          <w:rFonts w:hint="eastAsia" w:ascii="仿宋_GB2312" w:eastAsia="仿宋_GB2312"/>
          <w:sz w:val="32"/>
          <w:szCs w:val="32"/>
        </w:rPr>
        <w:t>平方米，预算单价1</w:t>
      </w:r>
      <w:r>
        <w:rPr>
          <w:rFonts w:ascii="仿宋_GB2312" w:eastAsia="仿宋_GB2312"/>
          <w:sz w:val="32"/>
          <w:szCs w:val="32"/>
        </w:rPr>
        <w:t>.2</w:t>
      </w:r>
      <w:r>
        <w:rPr>
          <w:rFonts w:hint="eastAsia" w:ascii="仿宋_GB2312" w:eastAsia="仿宋_GB2312"/>
          <w:sz w:val="32"/>
          <w:szCs w:val="32"/>
        </w:rPr>
        <w:t>元/株，预计总金额</w:t>
      </w:r>
      <w:r>
        <w:rPr>
          <w:rFonts w:ascii="仿宋_GB2312" w:eastAsia="仿宋_GB2312"/>
          <w:sz w:val="32"/>
          <w:szCs w:val="32"/>
        </w:rPr>
        <w:t>69</w:t>
      </w:r>
      <w:r>
        <w:rPr>
          <w:rFonts w:hint="eastAsia" w:ascii="仿宋_GB2312" w:eastAsia="仿宋_GB2312"/>
          <w:sz w:val="32"/>
          <w:szCs w:val="32"/>
        </w:rPr>
        <w:t>0万元，资金由市财政统筹安排。</w:t>
      </w:r>
    </w:p>
    <w:p>
      <w:pPr>
        <w:spacing w:line="360" w:lineRule="auto"/>
        <w:ind w:right="67" w:rightChars="32" w:firstLine="640" w:firstLineChars="200"/>
        <w:rPr>
          <w:rFonts w:ascii="仿宋_GB2312" w:eastAsia="仿宋_GB2312"/>
          <w:sz w:val="32"/>
          <w:szCs w:val="32"/>
        </w:rPr>
      </w:pPr>
      <w:r>
        <w:rPr>
          <w:rFonts w:hint="eastAsia" w:ascii="仿宋_GB2312" w:eastAsia="仿宋_GB2312"/>
          <w:sz w:val="32"/>
          <w:szCs w:val="32"/>
        </w:rPr>
        <w:t>2</w:t>
      </w:r>
      <w:r>
        <w:rPr>
          <w:rFonts w:ascii="仿宋_GB2312" w:eastAsia="仿宋_GB2312"/>
          <w:sz w:val="32"/>
          <w:szCs w:val="32"/>
        </w:rPr>
        <w:t>.</w:t>
      </w:r>
      <w:r>
        <w:rPr>
          <w:rFonts w:hint="eastAsia" w:ascii="仿宋_GB2312" w:eastAsia="仿宋_GB2312"/>
          <w:sz w:val="32"/>
          <w:szCs w:val="32"/>
        </w:rPr>
        <w:t>项目资金执行</w:t>
      </w:r>
      <w:r>
        <w:rPr>
          <w:rFonts w:ascii="仿宋_GB2312" w:eastAsia="仿宋_GB2312"/>
          <w:sz w:val="32"/>
          <w:szCs w:val="32"/>
        </w:rPr>
        <w:t>情况</w:t>
      </w:r>
    </w:p>
    <w:p>
      <w:pPr>
        <w:spacing w:line="360" w:lineRule="auto"/>
        <w:ind w:right="67" w:rightChars="32" w:firstLine="640" w:firstLineChars="200"/>
        <w:rPr>
          <w:rFonts w:ascii="仿宋_GB2312" w:eastAsia="仿宋_GB2312"/>
          <w:sz w:val="32"/>
          <w:szCs w:val="32"/>
        </w:rPr>
      </w:pPr>
      <w:r>
        <w:rPr>
          <w:rFonts w:hint="eastAsia" w:ascii="仿宋_GB2312" w:eastAsia="仿宋_GB2312"/>
          <w:sz w:val="32"/>
          <w:szCs w:val="32"/>
        </w:rPr>
        <w:t>本项目2022年度共支出72.11万元，其中：支付时花采购项目造价咨询费1</w:t>
      </w:r>
      <w:r>
        <w:rPr>
          <w:rFonts w:ascii="仿宋_GB2312" w:eastAsia="仿宋_GB2312"/>
          <w:sz w:val="32"/>
          <w:szCs w:val="32"/>
        </w:rPr>
        <w:t>.87</w:t>
      </w:r>
      <w:r>
        <w:rPr>
          <w:rFonts w:hint="eastAsia" w:ascii="仿宋_GB2312" w:eastAsia="仿宋_GB2312"/>
          <w:sz w:val="32"/>
          <w:szCs w:val="32"/>
        </w:rPr>
        <w:t>万元，支付时花项目第一批次进度款7</w:t>
      </w:r>
      <w:r>
        <w:rPr>
          <w:rFonts w:ascii="仿宋_GB2312" w:eastAsia="仿宋_GB2312"/>
          <w:sz w:val="32"/>
          <w:szCs w:val="32"/>
        </w:rPr>
        <w:t>0.24</w:t>
      </w:r>
      <w:r>
        <w:rPr>
          <w:rFonts w:hint="eastAsia" w:ascii="仿宋_GB2312" w:eastAsia="仿宋_GB2312"/>
          <w:sz w:val="32"/>
          <w:szCs w:val="32"/>
        </w:rPr>
        <w:t>万元，明细见表1-</w:t>
      </w:r>
      <w:r>
        <w:rPr>
          <w:rFonts w:ascii="仿宋_GB2312" w:eastAsia="仿宋_GB2312"/>
          <w:sz w:val="32"/>
          <w:szCs w:val="32"/>
        </w:rPr>
        <w:t>1</w:t>
      </w:r>
      <w:r>
        <w:rPr>
          <w:rFonts w:hint="eastAsia" w:ascii="仿宋_GB2312" w:eastAsia="仿宋_GB2312"/>
          <w:sz w:val="32"/>
          <w:szCs w:val="32"/>
        </w:rPr>
        <w:t>：</w:t>
      </w:r>
    </w:p>
    <w:p>
      <w:pPr>
        <w:spacing w:line="360" w:lineRule="auto"/>
        <w:ind w:right="67" w:rightChars="32"/>
        <w:jc w:val="center"/>
        <w:rPr>
          <w:rFonts w:ascii="仿宋_GB2312" w:eastAsia="仿宋_GB2312"/>
          <w:sz w:val="32"/>
          <w:szCs w:val="32"/>
        </w:rPr>
      </w:pPr>
      <w:r>
        <w:rPr>
          <w:rFonts w:hint="eastAsia" w:ascii="仿宋_GB2312" w:eastAsia="仿宋_GB2312"/>
          <w:sz w:val="32"/>
          <w:szCs w:val="32"/>
        </w:rPr>
        <w:t>表1-1</w:t>
      </w:r>
      <w:r>
        <w:rPr>
          <w:rFonts w:ascii="仿宋_GB2312" w:eastAsia="仿宋_GB2312"/>
          <w:sz w:val="32"/>
          <w:szCs w:val="32"/>
        </w:rPr>
        <w:t xml:space="preserve"> </w:t>
      </w:r>
      <w:r>
        <w:rPr>
          <w:rFonts w:hint="eastAsia" w:ascii="仿宋_GB2312" w:eastAsia="仿宋_GB2312"/>
          <w:sz w:val="32"/>
          <w:szCs w:val="32"/>
        </w:rPr>
        <w:t>时花采购项目第一批次进度款</w:t>
      </w:r>
    </w:p>
    <w:tbl>
      <w:tblPr>
        <w:tblStyle w:val="12"/>
        <w:tblW w:w="8217" w:type="dxa"/>
        <w:jc w:val="center"/>
        <w:tblLayout w:type="autofit"/>
        <w:tblCellMar>
          <w:top w:w="0" w:type="dxa"/>
          <w:left w:w="108" w:type="dxa"/>
          <w:bottom w:w="0" w:type="dxa"/>
          <w:right w:w="108" w:type="dxa"/>
        </w:tblCellMar>
      </w:tblPr>
      <w:tblGrid>
        <w:gridCol w:w="1129"/>
        <w:gridCol w:w="4962"/>
        <w:gridCol w:w="2126"/>
      </w:tblGrid>
      <w:tr>
        <w:tblPrEx>
          <w:tblCellMar>
            <w:top w:w="0" w:type="dxa"/>
            <w:left w:w="108" w:type="dxa"/>
            <w:bottom w:w="0" w:type="dxa"/>
            <w:right w:w="108" w:type="dxa"/>
          </w:tblCellMar>
        </w:tblPrEx>
        <w:trPr>
          <w:trHeight w:val="567" w:hRule="atLeast"/>
          <w:tblHeader/>
          <w:jc w:val="center"/>
        </w:trPr>
        <w:tc>
          <w:tcPr>
            <w:tcW w:w="1129"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序号</w:t>
            </w:r>
          </w:p>
        </w:tc>
        <w:tc>
          <w:tcPr>
            <w:tcW w:w="496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投标标的</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支付金额（元）</w:t>
            </w:r>
          </w:p>
        </w:tc>
      </w:tr>
      <w:tr>
        <w:tblPrEx>
          <w:tblCellMar>
            <w:top w:w="0" w:type="dxa"/>
            <w:left w:w="108" w:type="dxa"/>
            <w:bottom w:w="0" w:type="dxa"/>
            <w:right w:w="108" w:type="dxa"/>
          </w:tblCellMar>
        </w:tblPrEx>
        <w:trPr>
          <w:trHeight w:val="567" w:hRule="atLeast"/>
          <w:jc w:val="center"/>
        </w:trPr>
        <w:tc>
          <w:tcPr>
            <w:tcW w:w="112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1</w:t>
            </w:r>
          </w:p>
        </w:tc>
        <w:tc>
          <w:tcPr>
            <w:tcW w:w="496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红塔湾旅游公路</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 xml:space="preserve">420,631.00 </w:t>
            </w:r>
          </w:p>
        </w:tc>
      </w:tr>
      <w:tr>
        <w:tblPrEx>
          <w:tblCellMar>
            <w:top w:w="0" w:type="dxa"/>
            <w:left w:w="108" w:type="dxa"/>
            <w:bottom w:w="0" w:type="dxa"/>
            <w:right w:w="108" w:type="dxa"/>
          </w:tblCellMar>
        </w:tblPrEx>
        <w:trPr>
          <w:trHeight w:val="567" w:hRule="atLeast"/>
          <w:jc w:val="center"/>
        </w:trPr>
        <w:tc>
          <w:tcPr>
            <w:tcW w:w="112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c>
          <w:tcPr>
            <w:tcW w:w="496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福辉路</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 xml:space="preserve">49,410.50 </w:t>
            </w:r>
          </w:p>
        </w:tc>
      </w:tr>
      <w:tr>
        <w:tblPrEx>
          <w:tblCellMar>
            <w:top w:w="0" w:type="dxa"/>
            <w:left w:w="108" w:type="dxa"/>
            <w:bottom w:w="0" w:type="dxa"/>
            <w:right w:w="108" w:type="dxa"/>
          </w:tblCellMar>
        </w:tblPrEx>
        <w:trPr>
          <w:trHeight w:val="567" w:hRule="atLeast"/>
          <w:jc w:val="center"/>
        </w:trPr>
        <w:tc>
          <w:tcPr>
            <w:tcW w:w="112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3</w:t>
            </w:r>
          </w:p>
        </w:tc>
        <w:tc>
          <w:tcPr>
            <w:tcW w:w="496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人民广场</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 xml:space="preserve">50,362.50 </w:t>
            </w:r>
          </w:p>
        </w:tc>
      </w:tr>
      <w:tr>
        <w:tblPrEx>
          <w:tblCellMar>
            <w:top w:w="0" w:type="dxa"/>
            <w:left w:w="108" w:type="dxa"/>
            <w:bottom w:w="0" w:type="dxa"/>
            <w:right w:w="108" w:type="dxa"/>
          </w:tblCellMar>
        </w:tblPrEx>
        <w:trPr>
          <w:trHeight w:val="567" w:hRule="atLeast"/>
          <w:jc w:val="center"/>
        </w:trPr>
        <w:tc>
          <w:tcPr>
            <w:tcW w:w="112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c>
          <w:tcPr>
            <w:tcW w:w="496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门户廊道（石泉路-西环路-南洋路服装城）</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 xml:space="preserve">18,615.00 </w:t>
            </w:r>
          </w:p>
        </w:tc>
      </w:tr>
      <w:tr>
        <w:tblPrEx>
          <w:tblCellMar>
            <w:top w:w="0" w:type="dxa"/>
            <w:left w:w="108" w:type="dxa"/>
            <w:bottom w:w="0" w:type="dxa"/>
            <w:right w:w="108" w:type="dxa"/>
          </w:tblCellMar>
        </w:tblPrEx>
        <w:trPr>
          <w:trHeight w:val="567" w:hRule="atLeast"/>
          <w:jc w:val="center"/>
        </w:trPr>
        <w:tc>
          <w:tcPr>
            <w:tcW w:w="112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5</w:t>
            </w:r>
          </w:p>
        </w:tc>
        <w:tc>
          <w:tcPr>
            <w:tcW w:w="496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明珠广场</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 xml:space="preserve">26,966.25 </w:t>
            </w:r>
          </w:p>
        </w:tc>
      </w:tr>
      <w:tr>
        <w:tblPrEx>
          <w:tblCellMar>
            <w:top w:w="0" w:type="dxa"/>
            <w:left w:w="108" w:type="dxa"/>
            <w:bottom w:w="0" w:type="dxa"/>
            <w:right w:w="108" w:type="dxa"/>
          </w:tblCellMar>
        </w:tblPrEx>
        <w:trPr>
          <w:trHeight w:val="567" w:hRule="atLeast"/>
          <w:jc w:val="center"/>
        </w:trPr>
        <w:tc>
          <w:tcPr>
            <w:tcW w:w="112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6</w:t>
            </w:r>
          </w:p>
        </w:tc>
        <w:tc>
          <w:tcPr>
            <w:tcW w:w="496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狮标</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 xml:space="preserve">6,800.00 </w:t>
            </w:r>
          </w:p>
        </w:tc>
      </w:tr>
      <w:tr>
        <w:tblPrEx>
          <w:tblCellMar>
            <w:top w:w="0" w:type="dxa"/>
            <w:left w:w="108" w:type="dxa"/>
            <w:bottom w:w="0" w:type="dxa"/>
            <w:right w:w="108" w:type="dxa"/>
          </w:tblCellMar>
        </w:tblPrEx>
        <w:trPr>
          <w:trHeight w:val="567" w:hRule="atLeast"/>
          <w:jc w:val="center"/>
        </w:trPr>
        <w:tc>
          <w:tcPr>
            <w:tcW w:w="112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7</w:t>
            </w:r>
          </w:p>
        </w:tc>
        <w:tc>
          <w:tcPr>
            <w:tcW w:w="496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石锦路</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 xml:space="preserve">44,710.00 </w:t>
            </w:r>
          </w:p>
        </w:tc>
      </w:tr>
      <w:tr>
        <w:tblPrEx>
          <w:tblCellMar>
            <w:top w:w="0" w:type="dxa"/>
            <w:left w:w="108" w:type="dxa"/>
            <w:bottom w:w="0" w:type="dxa"/>
            <w:right w:w="108" w:type="dxa"/>
          </w:tblCellMar>
        </w:tblPrEx>
        <w:trPr>
          <w:trHeight w:val="567" w:hRule="atLeast"/>
          <w:jc w:val="center"/>
        </w:trPr>
        <w:tc>
          <w:tcPr>
            <w:tcW w:w="112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8</w:t>
            </w:r>
          </w:p>
        </w:tc>
        <w:tc>
          <w:tcPr>
            <w:tcW w:w="496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石永二路等路段</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 xml:space="preserve">67,178.05 </w:t>
            </w:r>
          </w:p>
        </w:tc>
      </w:tr>
      <w:tr>
        <w:tblPrEx>
          <w:tblCellMar>
            <w:top w:w="0" w:type="dxa"/>
            <w:left w:w="108" w:type="dxa"/>
            <w:bottom w:w="0" w:type="dxa"/>
            <w:right w:w="108" w:type="dxa"/>
          </w:tblCellMar>
        </w:tblPrEx>
        <w:trPr>
          <w:trHeight w:val="567" w:hRule="atLeast"/>
          <w:jc w:val="center"/>
        </w:trPr>
        <w:tc>
          <w:tcPr>
            <w:tcW w:w="112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9</w:t>
            </w:r>
          </w:p>
        </w:tc>
        <w:tc>
          <w:tcPr>
            <w:tcW w:w="496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学府路与宝岛路交叉口</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 xml:space="preserve">1,105.00 </w:t>
            </w:r>
          </w:p>
        </w:tc>
      </w:tr>
      <w:tr>
        <w:tblPrEx>
          <w:tblCellMar>
            <w:top w:w="0" w:type="dxa"/>
            <w:left w:w="108" w:type="dxa"/>
            <w:bottom w:w="0" w:type="dxa"/>
            <w:right w:w="108" w:type="dxa"/>
          </w:tblCellMar>
        </w:tblPrEx>
        <w:trPr>
          <w:trHeight w:val="567" w:hRule="atLeast"/>
          <w:jc w:val="center"/>
        </w:trPr>
        <w:tc>
          <w:tcPr>
            <w:tcW w:w="112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10</w:t>
            </w:r>
          </w:p>
        </w:tc>
        <w:tc>
          <w:tcPr>
            <w:tcW w:w="496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宝盖山</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 xml:space="preserve">10,072.50 </w:t>
            </w:r>
          </w:p>
        </w:tc>
      </w:tr>
      <w:tr>
        <w:tblPrEx>
          <w:tblCellMar>
            <w:top w:w="0" w:type="dxa"/>
            <w:left w:w="108" w:type="dxa"/>
            <w:bottom w:w="0" w:type="dxa"/>
            <w:right w:w="108" w:type="dxa"/>
          </w:tblCellMar>
        </w:tblPrEx>
        <w:trPr>
          <w:trHeight w:val="567" w:hRule="atLeast"/>
          <w:jc w:val="center"/>
        </w:trPr>
        <w:tc>
          <w:tcPr>
            <w:tcW w:w="112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11</w:t>
            </w:r>
          </w:p>
        </w:tc>
        <w:tc>
          <w:tcPr>
            <w:tcW w:w="496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花海谷公园</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 xml:space="preserve">6,528.00 </w:t>
            </w:r>
          </w:p>
        </w:tc>
      </w:tr>
      <w:tr>
        <w:tblPrEx>
          <w:tblCellMar>
            <w:top w:w="0" w:type="dxa"/>
            <w:left w:w="108" w:type="dxa"/>
            <w:bottom w:w="0" w:type="dxa"/>
            <w:right w:w="108" w:type="dxa"/>
          </w:tblCellMar>
        </w:tblPrEx>
        <w:trPr>
          <w:trHeight w:val="567" w:hRule="atLeast"/>
          <w:jc w:val="center"/>
        </w:trPr>
        <w:tc>
          <w:tcPr>
            <w:tcW w:w="1129"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　</w:t>
            </w:r>
          </w:p>
        </w:tc>
        <w:tc>
          <w:tcPr>
            <w:tcW w:w="4962"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left"/>
              <w:rPr>
                <w:rFonts w:ascii="宋体" w:hAnsi="宋体" w:cs="宋体"/>
                <w:color w:val="000000"/>
                <w:kern w:val="0"/>
                <w:sz w:val="24"/>
              </w:rPr>
            </w:pPr>
            <w:r>
              <w:rPr>
                <w:rFonts w:hint="eastAsia" w:ascii="宋体" w:hAnsi="宋体" w:cs="宋体"/>
                <w:color w:val="000000"/>
                <w:kern w:val="0"/>
                <w:sz w:val="24"/>
              </w:rPr>
              <w:t>合计</w:t>
            </w:r>
          </w:p>
        </w:tc>
        <w:tc>
          <w:tcPr>
            <w:tcW w:w="2126"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 xml:space="preserve">702,378.00 </w:t>
            </w:r>
          </w:p>
        </w:tc>
      </w:tr>
    </w:tbl>
    <w:p>
      <w:pPr>
        <w:pStyle w:val="3"/>
        <w:keepNext w:val="0"/>
        <w:keepLines w:val="0"/>
        <w:spacing w:before="0" w:after="0" w:line="360" w:lineRule="auto"/>
        <w:ind w:firstLine="642" w:firstLineChars="200"/>
        <w:rPr>
          <w:rFonts w:ascii="黑体" w:hAnsi="黑体" w:eastAsia="楷体"/>
          <w:kern w:val="44"/>
          <w:szCs w:val="30"/>
        </w:rPr>
      </w:pPr>
      <w:bookmarkStart w:id="5" w:name="_Toc142062793"/>
      <w:r>
        <w:rPr>
          <w:rFonts w:hint="eastAsia" w:ascii="黑体" w:hAnsi="黑体" w:eastAsia="楷体"/>
          <w:kern w:val="44"/>
          <w:szCs w:val="30"/>
        </w:rPr>
        <w:t>（三）项目绩效目标</w:t>
      </w:r>
      <w:bookmarkEnd w:id="5"/>
    </w:p>
    <w:p>
      <w:pPr>
        <w:spacing w:line="360" w:lineRule="auto"/>
        <w:ind w:firstLine="640" w:firstLineChars="200"/>
        <w:rPr>
          <w:rFonts w:ascii="仿宋_GB2312" w:eastAsia="仿宋_GB2312"/>
          <w:sz w:val="32"/>
          <w:szCs w:val="32"/>
        </w:rPr>
      </w:pPr>
      <w:r>
        <w:rPr>
          <w:rFonts w:hint="eastAsia" w:ascii="仿宋_GB2312" w:eastAsia="仿宋_GB2312"/>
          <w:sz w:val="32"/>
          <w:szCs w:val="32"/>
        </w:rPr>
        <w:t>市园林环卫中心2</w:t>
      </w:r>
      <w:r>
        <w:rPr>
          <w:rFonts w:ascii="仿宋_GB2312" w:eastAsia="仿宋_GB2312"/>
          <w:sz w:val="32"/>
          <w:szCs w:val="32"/>
        </w:rPr>
        <w:t>021</w:t>
      </w:r>
      <w:r>
        <w:rPr>
          <w:rFonts w:hint="eastAsia" w:ascii="仿宋_GB2312" w:eastAsia="仿宋_GB2312"/>
          <w:sz w:val="32"/>
          <w:szCs w:val="32"/>
        </w:rPr>
        <w:t>年申报了“2022年时花采购”项目专项资金绩效目标申报表，主要内容如下：</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总体目标：持续美化城市环境，增强可观赏性，提高城市形象，提升城市品位，构建人与自然相和谐的生态环境。</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项目确定的依据：《石狮市城市管理局关于2021年时花采购有关事项的请示》（狮城管〔2021〕56号）</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项目申报的可行性：春夏植物生长种植旺季，更换时花，扮靓城市，持续美化城市环境，提升城市品位。</w:t>
      </w:r>
    </w:p>
    <w:p>
      <w:pPr>
        <w:pStyle w:val="3"/>
        <w:spacing w:before="0" w:after="0" w:line="360" w:lineRule="auto"/>
        <w:ind w:firstLine="642" w:firstLineChars="200"/>
        <w:rPr>
          <w:rFonts w:ascii="黑体" w:hAnsi="黑体" w:eastAsia="楷体"/>
          <w:kern w:val="44"/>
          <w:szCs w:val="30"/>
        </w:rPr>
      </w:pPr>
      <w:bookmarkStart w:id="6" w:name="_Toc142062794"/>
      <w:r>
        <w:rPr>
          <w:rFonts w:hint="eastAsia" w:ascii="黑体" w:hAnsi="黑体" w:eastAsia="楷体"/>
          <w:kern w:val="44"/>
          <w:szCs w:val="30"/>
        </w:rPr>
        <w:t>（四）项目</w:t>
      </w:r>
      <w:r>
        <w:rPr>
          <w:rFonts w:ascii="黑体" w:hAnsi="黑体" w:eastAsia="楷体"/>
          <w:kern w:val="44"/>
          <w:szCs w:val="30"/>
        </w:rPr>
        <w:t>组织</w:t>
      </w:r>
      <w:r>
        <w:rPr>
          <w:rFonts w:hint="eastAsia" w:ascii="黑体" w:hAnsi="黑体" w:eastAsia="楷体"/>
          <w:kern w:val="44"/>
          <w:szCs w:val="30"/>
        </w:rPr>
        <w:t>管理与</w:t>
      </w:r>
      <w:r>
        <w:rPr>
          <w:rFonts w:ascii="黑体" w:hAnsi="黑体" w:eastAsia="楷体"/>
          <w:kern w:val="44"/>
          <w:szCs w:val="30"/>
        </w:rPr>
        <w:t>业务流程</w:t>
      </w:r>
      <w:bookmarkEnd w:id="6"/>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1.相关组织情况</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（1）项目主管单位</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石狮市城市管理局，作为项目主管单位，负责项目立项、申请，对项目实施单位进行监督、管理。</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（2）项目实施单位</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石狮市园林环卫中心，以下简称：市园林环卫中心。狮委编〔2021〕19号文，决定石狮市城市管理局所属事业单位市水务处、市政公用事业处、市公园服务中心3个事业单位组建市市政公用事业发展中心。狮委编</w:t>
      </w:r>
      <w:r>
        <w:rPr>
          <w:rFonts w:hint="eastAsia" w:ascii="仿宋_GB2312" w:hAnsi="宋体" w:eastAsia="仿宋_GB2312"/>
          <w:sz w:val="32"/>
          <w:szCs w:val="32"/>
        </w:rPr>
        <w:t>〔2022〕</w:t>
      </w:r>
      <w:r>
        <w:rPr>
          <w:rFonts w:hint="eastAsia" w:ascii="仿宋_GB2312" w:eastAsia="仿宋_GB2312"/>
          <w:sz w:val="32"/>
          <w:szCs w:val="32"/>
        </w:rPr>
        <w:t>25号文调整市市政公用事业发展中心有关机构编制事项，设立市市政燃气中心、市园林环卫中心等2个事业单位，市园林环卫中心职责任务：主要负责承担园林绿化、市容环卫、公园管理的行政辅助性、技术性、事务性工作；完成主管部门交办的其他工作。</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市园林环卫中心负责项目预算编制、预算执行、决算等工作。具体包括：聘请造价机构编制招标控制价；组织招标机构开展时花采购项目招标工作；遴选合格的供应商；与中标供应商签订政府采购合同；负责时花采购；开展时花验收工作；对时花供应的全过程进行跟踪管理；根据合格时花供应量及合同条款办理款项支付。</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（3）时花供应商</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泉州森活园林绿化工程有限公司：石狮市2022年时花采购项目中标供应商。平时做好应季花卉、绿植的准备工作，根据市园林环卫中心的采购指令按时、保质、保量</w:t>
      </w:r>
      <w:r>
        <w:rPr>
          <w:rFonts w:hint="eastAsia" w:ascii="仿宋_GB2312" w:eastAsia="仿宋_GB2312"/>
          <w:sz w:val="32"/>
          <w:szCs w:val="32"/>
          <w:lang w:eastAsia="zh-CN"/>
        </w:rPr>
        <w:t>地</w:t>
      </w:r>
      <w:r>
        <w:rPr>
          <w:rFonts w:hint="eastAsia" w:ascii="仿宋_GB2312" w:eastAsia="仿宋_GB2312"/>
          <w:sz w:val="32"/>
          <w:szCs w:val="32"/>
        </w:rPr>
        <w:t>完成时花供应，提供技术指导服务，根据供货验收结果据实申请款项支付。</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2.项目业务流程</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（1）政府采购流程</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市园林环卫中心委托第三方机构福建恒都工程项目管理有限公司编制时花采购项目招标控制价，对项目进行总价控制。福建恒都工程项目管理有限公司按采购面积15000m</w:t>
      </w:r>
      <w:r>
        <w:rPr>
          <w:rFonts w:ascii="Calibri" w:hAnsi="Calibri" w:eastAsia="仿宋_GB2312" w:cs="Calibri"/>
          <w:sz w:val="32"/>
          <w:szCs w:val="32"/>
        </w:rPr>
        <w:t>²</w:t>
      </w:r>
      <w:r>
        <w:rPr>
          <w:rFonts w:hint="eastAsia" w:ascii="仿宋_GB2312" w:eastAsia="仿宋_GB2312"/>
          <w:sz w:val="32"/>
          <w:szCs w:val="32"/>
        </w:rPr>
        <w:t>，种植密度（64株/</w:t>
      </w:r>
      <w:r>
        <w:rPr>
          <w:rFonts w:hint="eastAsia" w:ascii="仿宋_GB2312" w:eastAsia="仿宋_GB2312"/>
        </w:rPr>
        <w:t xml:space="preserve"> </w:t>
      </w:r>
      <w:r>
        <w:rPr>
          <w:rFonts w:hint="eastAsia" w:ascii="仿宋_GB2312" w:eastAsia="仿宋_GB2312"/>
          <w:sz w:val="32"/>
          <w:szCs w:val="32"/>
        </w:rPr>
        <w:t>m</w:t>
      </w:r>
      <w:r>
        <w:rPr>
          <w:rFonts w:ascii="Calibri" w:hAnsi="Calibri" w:eastAsia="仿宋_GB2312" w:cs="Calibri"/>
          <w:sz w:val="32"/>
          <w:szCs w:val="32"/>
        </w:rPr>
        <w:t>²</w:t>
      </w:r>
      <w:r>
        <w:rPr>
          <w:rFonts w:hint="eastAsia" w:ascii="仿宋_GB2312" w:eastAsia="仿宋_GB2312"/>
          <w:sz w:val="32"/>
          <w:szCs w:val="32"/>
        </w:rPr>
        <w:t>），采购次数6次，采购数量共5760000株，经三方询价，确定采购含税单价1.2元/株，招标控制价为691.2万元。</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市园林环卫中心通过随机抽取方式选择泉州市信恒招标咨询有限公司作为招标代理公司，对2021年时花采购服务项目组织进行公开招标（项目编号为[350581]QZXHZB[GK]2021023）。经过评标，最终确定泉州森活园林绿化工程有限公司为中标人，中标单价为0.85元/株，中标金额为488.75万元。市园林环卫中心与中标供应商签订政府采购合同。</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（2）项目日常管理</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每次采购前，项目工作人员提前1-2天以微信形式告知供应商。大批量种植前由供应商提供样品图片或直接到供应商花圃选择时花品种，并对规格及花苞量提出要求。项目工作人员对项目实施进行严格的验收管理，供应商提供的时花不符合合同约定的现场不予接收，直接做退货处理，符合条件的出具工程量核定及验收意见单，由验收</w:t>
      </w:r>
      <w:r>
        <w:rPr>
          <w:rFonts w:hint="eastAsia" w:ascii="仿宋_GB2312" w:eastAsia="仿宋_GB2312"/>
          <w:sz w:val="32"/>
          <w:szCs w:val="32"/>
          <w:lang w:eastAsia="zh-CN"/>
        </w:rPr>
        <w:t>人</w:t>
      </w:r>
      <w:r>
        <w:rPr>
          <w:rFonts w:hint="eastAsia" w:ascii="仿宋_GB2312" w:eastAsia="仿宋_GB2312"/>
          <w:sz w:val="32"/>
          <w:szCs w:val="32"/>
        </w:rPr>
        <w:t>员签署验收意见，作为项目管理及结算依据。</w:t>
      </w:r>
    </w:p>
    <w:p>
      <w:pPr>
        <w:pStyle w:val="2"/>
      </w:pPr>
      <w:bookmarkStart w:id="7" w:name="_Toc142062795"/>
      <w:r>
        <w:rPr>
          <w:rFonts w:hint="eastAsia"/>
        </w:rPr>
        <w:t>二、评价工作简述</w:t>
      </w:r>
      <w:bookmarkEnd w:id="7"/>
    </w:p>
    <w:p>
      <w:pPr>
        <w:pStyle w:val="3"/>
        <w:spacing w:before="0" w:after="0" w:line="360" w:lineRule="auto"/>
        <w:ind w:firstLine="642" w:firstLineChars="200"/>
        <w:rPr>
          <w:rFonts w:ascii="黑体" w:hAnsi="黑体" w:eastAsia="楷体"/>
          <w:kern w:val="44"/>
          <w:szCs w:val="30"/>
        </w:rPr>
      </w:pPr>
      <w:bookmarkStart w:id="8" w:name="_Toc142062796"/>
      <w:r>
        <w:rPr>
          <w:rFonts w:hint="eastAsia" w:ascii="黑体" w:hAnsi="黑体" w:eastAsia="楷体"/>
          <w:kern w:val="44"/>
          <w:szCs w:val="30"/>
        </w:rPr>
        <w:t>（一）基本情况</w:t>
      </w:r>
      <w:bookmarkEnd w:id="8"/>
    </w:p>
    <w:p>
      <w:pPr>
        <w:spacing w:line="360" w:lineRule="auto"/>
        <w:ind w:firstLine="640" w:firstLineChars="200"/>
        <w:rPr>
          <w:rFonts w:ascii="仿宋_GB2312" w:eastAsia="仿宋_GB2312"/>
          <w:sz w:val="32"/>
          <w:szCs w:val="32"/>
        </w:rPr>
      </w:pPr>
      <w:r>
        <w:rPr>
          <w:rFonts w:hint="eastAsia" w:ascii="仿宋_GB2312" w:eastAsia="仿宋_GB2312"/>
          <w:sz w:val="32"/>
          <w:szCs w:val="32"/>
        </w:rPr>
        <w:t>1.根据评价项目实际情况，确定公司评价小组成员名单，并对评价小组成员进行业务培训，包括对项目财政支出政策的梳理，了解时花采购项目基本情况，统一评价思路和方法，落实评价任务。</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2.基本情况调研：与市园林环卫中心相关人员联系，举办沟通会，收集相关资料。</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3.撰写评价计划及相关表单初稿，包括梳理项目的基本情况、评价方案、评价指标和满意度问卷调查方案等。</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4.完善评价方案及相关表单。</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5.与相关方达成共识后向单位质控小组提交评价方案及相关表单。</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6.评价小组根据单位质控小组意见进行修订，完善了项目背景和评价思路，使产出、效果和影响力指标与项目更为贴切。</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7.撰写绩效重点评价报告。</w:t>
      </w:r>
    </w:p>
    <w:p>
      <w:pPr>
        <w:pStyle w:val="3"/>
        <w:spacing w:before="0" w:after="0" w:line="360" w:lineRule="auto"/>
        <w:ind w:firstLine="642" w:firstLineChars="200"/>
        <w:rPr>
          <w:rFonts w:ascii="黑体" w:hAnsi="黑体" w:eastAsia="楷体"/>
          <w:b w:val="0"/>
          <w:bCs w:val="0"/>
          <w:kern w:val="44"/>
          <w:szCs w:val="30"/>
        </w:rPr>
      </w:pPr>
      <w:bookmarkStart w:id="9" w:name="_Toc5900047"/>
      <w:bookmarkStart w:id="10" w:name="_Toc6563720"/>
      <w:bookmarkStart w:id="11" w:name="_Toc142062797"/>
      <w:r>
        <w:rPr>
          <w:rFonts w:hint="eastAsia" w:ascii="黑体" w:hAnsi="黑体" w:eastAsia="楷体"/>
          <w:kern w:val="44"/>
          <w:szCs w:val="30"/>
        </w:rPr>
        <w:t>（二）绩效评价原则和评价方法</w:t>
      </w:r>
      <w:bookmarkEnd w:id="9"/>
      <w:bookmarkEnd w:id="10"/>
      <w:bookmarkEnd w:id="11"/>
    </w:p>
    <w:p>
      <w:pPr>
        <w:spacing w:line="360" w:lineRule="auto"/>
        <w:ind w:firstLine="640" w:firstLineChars="200"/>
        <w:rPr>
          <w:rFonts w:ascii="仿宋_GB2312" w:eastAsia="仿宋"/>
          <w:bCs/>
          <w:sz w:val="32"/>
          <w:szCs w:val="32"/>
        </w:rPr>
      </w:pPr>
      <w:r>
        <w:rPr>
          <w:rFonts w:hint="eastAsia" w:ascii="仿宋_GB2312" w:eastAsia="仿宋_GB2312"/>
          <w:bCs/>
          <w:sz w:val="32"/>
          <w:szCs w:val="32"/>
        </w:rPr>
        <w:t>1.评价原则</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本次绩效评价以客观、公正、科学和规范为评价原则，从项目财政支出的政策梳理入手，在分析政策文件的基础上，综合考虑项目的背景、目的、内容、预算和资金使用、管理机制等因素，围绕本项目的特点，进行本次绩效评价实施方案的设计，旨在全面考察该项目的项目决策、项目管理和项目绩效，并以此为依据，设计基础表和社会调查方案，以全面支持绩效评价工作的开展。</w:t>
      </w:r>
    </w:p>
    <w:p>
      <w:pPr>
        <w:spacing w:line="360" w:lineRule="auto"/>
        <w:ind w:firstLine="640" w:firstLineChars="200"/>
        <w:rPr>
          <w:rFonts w:ascii="仿宋_GB2312" w:eastAsia="仿宋_GB2312"/>
          <w:bCs/>
          <w:sz w:val="32"/>
          <w:szCs w:val="32"/>
        </w:rPr>
      </w:pPr>
      <w:r>
        <w:rPr>
          <w:rFonts w:hint="eastAsia" w:ascii="仿宋_GB2312" w:eastAsia="仿宋_GB2312"/>
          <w:bCs/>
          <w:sz w:val="32"/>
          <w:szCs w:val="32"/>
        </w:rPr>
        <w:t>2.评价方法</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（1）政策、文献研究法</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通过学习和研究国家、石狮市关于项目支出的相关政策和文献，获得项目背景、范围、内容、绩效目标及预算资金安排等信息，据以评价项目决策和项目管理。</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（2）比较法</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通过与历史数值和项目计划数值进行比较，算出绩效值。</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（3）公众评判法</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主要包括通过问卷调查、实地勘察、专家评估等方法对项目效果进行评判，得出绩效目标的实现度。</w:t>
      </w:r>
    </w:p>
    <w:p>
      <w:pPr>
        <w:spacing w:line="360" w:lineRule="auto"/>
        <w:ind w:firstLine="640" w:firstLineChars="200"/>
        <w:rPr>
          <w:rFonts w:ascii="仿宋_GB2312" w:eastAsia="仿宋_GB2312"/>
          <w:sz w:val="32"/>
          <w:szCs w:val="32"/>
        </w:rPr>
      </w:pPr>
      <w:r>
        <w:rPr>
          <w:rFonts w:hint="eastAsia" w:ascii="仿宋_GB2312" w:eastAsia="仿宋_GB2312"/>
          <w:bCs/>
          <w:sz w:val="32"/>
          <w:szCs w:val="32"/>
        </w:rPr>
        <w:t>（4）现场调研法</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通过对市园林环卫中心项目支出执行情况和资金使用情况进行实地调研，结合相关负责人的访谈和有关满意度问卷调查，提升本次绩效评价的准确性。</w:t>
      </w:r>
    </w:p>
    <w:p>
      <w:pPr>
        <w:spacing w:line="360" w:lineRule="auto"/>
        <w:ind w:firstLine="640" w:firstLineChars="200"/>
        <w:rPr>
          <w:rFonts w:ascii="仿宋_GB2312" w:eastAsia="仿宋"/>
          <w:b/>
          <w:sz w:val="32"/>
          <w:szCs w:val="32"/>
        </w:rPr>
      </w:pPr>
      <w:r>
        <w:rPr>
          <w:rFonts w:hint="eastAsia" w:ascii="仿宋_GB2312" w:eastAsia="仿宋_GB2312"/>
          <w:bCs/>
          <w:sz w:val="32"/>
          <w:szCs w:val="32"/>
        </w:rPr>
        <w:t>3.数据采集方法及过程</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（1）走访项目实施单位和主管单位，采集以下数据：</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w:t>
      </w:r>
      <w:r>
        <w:rPr>
          <w:rFonts w:hint="eastAsia" w:ascii="仿宋_GB2312" w:eastAsia="仿宋_GB2312"/>
          <w:sz w:val="32"/>
          <w:szCs w:val="32"/>
        </w:rPr>
        <w:fldChar w:fldCharType="begin"/>
      </w:r>
      <w:r>
        <w:rPr>
          <w:rFonts w:hint="eastAsia" w:ascii="仿宋_GB2312" w:eastAsia="仿宋_GB2312"/>
          <w:sz w:val="32"/>
          <w:szCs w:val="32"/>
        </w:rPr>
        <w:instrText xml:space="preserve"> = 1 \* GB3 </w:instrText>
      </w:r>
      <w:r>
        <w:rPr>
          <w:rFonts w:hint="eastAsia" w:ascii="仿宋_GB2312" w:eastAsia="仿宋_GB2312"/>
          <w:sz w:val="32"/>
          <w:szCs w:val="32"/>
        </w:rPr>
        <w:fldChar w:fldCharType="separate"/>
      </w:r>
      <w:r>
        <w:rPr>
          <w:rFonts w:hint="eastAsia" w:ascii="仿宋_GB2312" w:eastAsia="仿宋_GB2312"/>
          <w:sz w:val="32"/>
          <w:szCs w:val="32"/>
        </w:rPr>
        <w:t>①</w:t>
      </w:r>
      <w:r>
        <w:rPr>
          <w:rFonts w:hint="eastAsia" w:ascii="仿宋_GB2312" w:eastAsia="仿宋_GB2312"/>
          <w:sz w:val="32"/>
          <w:szCs w:val="32"/>
        </w:rPr>
        <w:fldChar w:fldCharType="end"/>
      </w:r>
      <w:r>
        <w:rPr>
          <w:rFonts w:hint="eastAsia" w:ascii="仿宋_GB2312" w:eastAsia="仿宋_GB2312"/>
          <w:sz w:val="32"/>
          <w:szCs w:val="32"/>
        </w:rPr>
        <w:t>与评价项目相关的法律法规和规章政策；</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w:t>
      </w:r>
      <w:r>
        <w:rPr>
          <w:rFonts w:hint="eastAsia" w:ascii="仿宋_GB2312" w:eastAsia="仿宋_GB2312"/>
          <w:sz w:val="32"/>
          <w:szCs w:val="32"/>
        </w:rPr>
        <w:fldChar w:fldCharType="begin"/>
      </w:r>
      <w:r>
        <w:rPr>
          <w:rFonts w:hint="eastAsia" w:ascii="仿宋_GB2312" w:eastAsia="仿宋_GB2312"/>
          <w:sz w:val="32"/>
          <w:szCs w:val="32"/>
        </w:rPr>
        <w:instrText xml:space="preserve"> = 2 \* GB3 </w:instrText>
      </w:r>
      <w:r>
        <w:rPr>
          <w:rFonts w:hint="eastAsia" w:ascii="仿宋_GB2312" w:eastAsia="仿宋_GB2312"/>
          <w:sz w:val="32"/>
          <w:szCs w:val="32"/>
        </w:rPr>
        <w:fldChar w:fldCharType="separate"/>
      </w:r>
      <w:r>
        <w:rPr>
          <w:rFonts w:hint="eastAsia" w:ascii="仿宋_GB2312" w:eastAsia="仿宋_GB2312"/>
          <w:sz w:val="32"/>
          <w:szCs w:val="32"/>
        </w:rPr>
        <w:t>②</w:t>
      </w:r>
      <w:r>
        <w:rPr>
          <w:rFonts w:hint="eastAsia" w:ascii="仿宋_GB2312" w:eastAsia="仿宋_GB2312"/>
          <w:sz w:val="32"/>
          <w:szCs w:val="32"/>
        </w:rPr>
        <w:fldChar w:fldCharType="end"/>
      </w:r>
      <w:r>
        <w:rPr>
          <w:rFonts w:hint="eastAsia" w:ascii="仿宋_GB2312" w:eastAsia="仿宋_GB2312"/>
          <w:sz w:val="32"/>
          <w:szCs w:val="32"/>
        </w:rPr>
        <w:t>项目前期申报材料和批复；</w:t>
      </w:r>
    </w:p>
    <w:p>
      <w:pPr>
        <w:spacing w:line="360" w:lineRule="auto"/>
        <w:ind w:firstLine="960" w:firstLineChars="300"/>
        <w:rPr>
          <w:rFonts w:ascii="仿宋_GB2312" w:eastAsia="仿宋_GB2312"/>
          <w:sz w:val="32"/>
          <w:szCs w:val="32"/>
        </w:rPr>
      </w:pPr>
      <w:r>
        <w:rPr>
          <w:rFonts w:hint="eastAsia" w:ascii="仿宋_GB2312" w:eastAsia="仿宋_GB2312"/>
          <w:sz w:val="32"/>
          <w:szCs w:val="32"/>
        </w:rPr>
        <w:t>③项目资金规模、使用方向等；</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w:t>
      </w:r>
      <w:r>
        <w:rPr>
          <w:rFonts w:hint="eastAsia" w:ascii="仿宋_GB2312" w:eastAsia="仿宋_GB2312"/>
          <w:sz w:val="32"/>
          <w:szCs w:val="32"/>
        </w:rPr>
        <w:fldChar w:fldCharType="begin"/>
      </w:r>
      <w:r>
        <w:rPr>
          <w:rFonts w:hint="eastAsia" w:ascii="仿宋_GB2312" w:eastAsia="仿宋_GB2312"/>
          <w:sz w:val="32"/>
          <w:szCs w:val="32"/>
        </w:rPr>
        <w:instrText xml:space="preserve"> = 4 \* GB3 </w:instrText>
      </w:r>
      <w:r>
        <w:rPr>
          <w:rFonts w:hint="eastAsia" w:ascii="仿宋_GB2312" w:eastAsia="仿宋_GB2312"/>
          <w:sz w:val="32"/>
          <w:szCs w:val="32"/>
        </w:rPr>
        <w:fldChar w:fldCharType="separate"/>
      </w:r>
      <w:r>
        <w:rPr>
          <w:rFonts w:hint="eastAsia" w:ascii="仿宋_GB2312" w:eastAsia="仿宋_GB2312"/>
          <w:sz w:val="32"/>
          <w:szCs w:val="32"/>
        </w:rPr>
        <w:t>④</w:t>
      </w:r>
      <w:r>
        <w:rPr>
          <w:rFonts w:hint="eastAsia" w:ascii="仿宋_GB2312" w:eastAsia="仿宋_GB2312"/>
          <w:sz w:val="32"/>
          <w:szCs w:val="32"/>
        </w:rPr>
        <w:fldChar w:fldCharType="end"/>
      </w:r>
      <w:r>
        <w:rPr>
          <w:rFonts w:hint="eastAsia" w:ascii="仿宋_GB2312" w:eastAsia="仿宋_GB2312"/>
          <w:sz w:val="32"/>
          <w:szCs w:val="32"/>
        </w:rPr>
        <w:t>项目实施内控、管理等制度；</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w:t>
      </w:r>
      <w:r>
        <w:rPr>
          <w:rFonts w:hint="eastAsia" w:ascii="仿宋_GB2312" w:eastAsia="仿宋_GB2312"/>
          <w:sz w:val="32"/>
          <w:szCs w:val="32"/>
        </w:rPr>
        <w:fldChar w:fldCharType="begin"/>
      </w:r>
      <w:r>
        <w:rPr>
          <w:rFonts w:hint="eastAsia" w:ascii="仿宋_GB2312" w:eastAsia="仿宋_GB2312"/>
          <w:sz w:val="32"/>
          <w:szCs w:val="32"/>
        </w:rPr>
        <w:instrText xml:space="preserve"> = 5 \* GB3 </w:instrText>
      </w:r>
      <w:r>
        <w:rPr>
          <w:rFonts w:hint="eastAsia" w:ascii="仿宋_GB2312" w:eastAsia="仿宋_GB2312"/>
          <w:sz w:val="32"/>
          <w:szCs w:val="32"/>
        </w:rPr>
        <w:fldChar w:fldCharType="separate"/>
      </w:r>
      <w:r>
        <w:rPr>
          <w:rFonts w:hint="eastAsia" w:ascii="仿宋_GB2312" w:eastAsia="仿宋_GB2312"/>
          <w:sz w:val="32"/>
          <w:szCs w:val="32"/>
        </w:rPr>
        <w:t>⑤</w:t>
      </w:r>
      <w:r>
        <w:rPr>
          <w:rFonts w:hint="eastAsia" w:ascii="仿宋_GB2312" w:eastAsia="仿宋_GB2312"/>
          <w:sz w:val="32"/>
          <w:szCs w:val="32"/>
        </w:rPr>
        <w:fldChar w:fldCharType="end"/>
      </w:r>
      <w:r>
        <w:rPr>
          <w:rFonts w:hint="eastAsia" w:ascii="仿宋_GB2312" w:eastAsia="仿宋_GB2312"/>
          <w:sz w:val="32"/>
          <w:szCs w:val="32"/>
        </w:rPr>
        <w:t>具体实施进展情况；</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w:t>
      </w:r>
      <w:r>
        <w:rPr>
          <w:rFonts w:hint="eastAsia" w:ascii="仿宋_GB2312" w:eastAsia="仿宋_GB2312"/>
          <w:sz w:val="32"/>
          <w:szCs w:val="32"/>
        </w:rPr>
        <w:fldChar w:fldCharType="begin"/>
      </w:r>
      <w:r>
        <w:rPr>
          <w:rFonts w:hint="eastAsia" w:ascii="仿宋_GB2312" w:eastAsia="仿宋_GB2312"/>
          <w:sz w:val="32"/>
          <w:szCs w:val="32"/>
        </w:rPr>
        <w:instrText xml:space="preserve"> = 6 \* GB3 </w:instrText>
      </w:r>
      <w:r>
        <w:rPr>
          <w:rFonts w:hint="eastAsia" w:ascii="仿宋_GB2312" w:eastAsia="仿宋_GB2312"/>
          <w:sz w:val="32"/>
          <w:szCs w:val="32"/>
        </w:rPr>
        <w:fldChar w:fldCharType="separate"/>
      </w:r>
      <w:r>
        <w:rPr>
          <w:rFonts w:hint="eastAsia" w:ascii="仿宋_GB2312" w:eastAsia="仿宋_GB2312"/>
          <w:sz w:val="32"/>
          <w:szCs w:val="32"/>
        </w:rPr>
        <w:t>⑥</w:t>
      </w:r>
      <w:r>
        <w:rPr>
          <w:rFonts w:hint="eastAsia" w:ascii="仿宋_GB2312" w:eastAsia="仿宋_GB2312"/>
          <w:sz w:val="32"/>
          <w:szCs w:val="32"/>
        </w:rPr>
        <w:fldChar w:fldCharType="end"/>
      </w:r>
      <w:r>
        <w:rPr>
          <w:rFonts w:hint="eastAsia" w:ascii="仿宋_GB2312" w:eastAsia="仿宋_GB2312"/>
          <w:sz w:val="32"/>
          <w:szCs w:val="32"/>
        </w:rPr>
        <w:t>对项目的绩效目标设置和社会效益期望等。</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（2）文献资料查找和学习：收集国家、市级层面项目支出政策，获得项目背景、范围、内容、绩效目标及预算资金安排等信息，据以评价项目实施和项目管理。</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（3）社会调查：评价人员通过对受益对象发放电子调查问卷的方式采集满意度数据，通过对项目实施单位现场走访，对项目产出和效果进行评判，得出绩效目标的实现程度。</w:t>
      </w:r>
    </w:p>
    <w:p>
      <w:pPr>
        <w:pStyle w:val="3"/>
        <w:spacing w:before="0" w:after="0" w:line="360" w:lineRule="auto"/>
        <w:ind w:firstLine="642" w:firstLineChars="200"/>
        <w:rPr>
          <w:rFonts w:ascii="黑体" w:hAnsi="黑体" w:eastAsia="楷体"/>
          <w:kern w:val="44"/>
          <w:szCs w:val="30"/>
        </w:rPr>
      </w:pPr>
      <w:bookmarkStart w:id="12" w:name="_Toc142062798"/>
      <w:bookmarkStart w:id="13" w:name="_Toc6563721"/>
      <w:r>
        <w:rPr>
          <w:rFonts w:hint="eastAsia" w:ascii="黑体" w:hAnsi="黑体" w:eastAsia="楷体"/>
          <w:kern w:val="44"/>
          <w:szCs w:val="30"/>
        </w:rPr>
        <w:t>（三）现场评价及满意度评价</w:t>
      </w:r>
      <w:bookmarkEnd w:id="12"/>
      <w:bookmarkEnd w:id="13"/>
    </w:p>
    <w:p>
      <w:pPr>
        <w:spacing w:line="360" w:lineRule="auto"/>
        <w:ind w:firstLine="640" w:firstLineChars="200"/>
        <w:rPr>
          <w:rFonts w:ascii="仿宋_GB2312" w:eastAsia="仿宋_GB2312"/>
          <w:sz w:val="32"/>
          <w:szCs w:val="32"/>
        </w:rPr>
      </w:pPr>
      <w:r>
        <w:rPr>
          <w:rFonts w:hint="eastAsia" w:ascii="仿宋_GB2312" w:eastAsia="仿宋_GB2312"/>
          <w:sz w:val="32"/>
          <w:szCs w:val="32"/>
        </w:rPr>
        <w:t>本次绩效评价工作是由石狮市财政局委托厦门市恒</w:t>
      </w:r>
      <w:r>
        <w:rPr>
          <w:rFonts w:hint="eastAsia" w:ascii="仿宋" w:hAnsi="仿宋" w:eastAsia="仿宋" w:cs="微软雅黑"/>
          <w:sz w:val="32"/>
          <w:szCs w:val="32"/>
        </w:rPr>
        <w:t>璟</w:t>
      </w:r>
      <w:r>
        <w:rPr>
          <w:rFonts w:hint="eastAsia" w:ascii="仿宋_GB2312" w:hAnsi="仿宋_GB2312" w:eastAsia="仿宋_GB2312" w:cs="仿宋_GB2312"/>
          <w:sz w:val="32"/>
          <w:szCs w:val="32"/>
        </w:rPr>
        <w:t>管理顾问有限公司实施。</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项目前期，评价小组走访了市园林环卫中心和市财政局，了解并收集绩效目标表、预算审批等文件和资料，在对相关文件和资料进行整理分析的基础上起草了评价计划及相关表单。</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专家对评价计划及相关表单进行了初审，评价小组针对专家意见进行了初步修改。</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专家组对评价计划及相关表单正式评审并提出了相关修改意见，评价小组根据修改意见完成评价计划及相关表单的最终修改，专家组审核确认后提交了评价计划及相关表单正式稿。</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评价小组前往市园林环卫中心进行评价前沟通交流。针对业务数据表、评价所需资料清单方面存在的分歧与理解偏差进行充分沟通。</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项目进入现场访谈阶段，评价小组在市园林环卫中心工作人员的配合协助下，进行现场访谈，详细了解时花采购服务实施过程的详细情况。</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此外，评价小组也对项目进行了满意度问卷调查。</w:t>
      </w:r>
      <w:r>
        <w:rPr>
          <w:rFonts w:ascii="仿宋_GB2312" w:eastAsia="仿宋_GB2312"/>
          <w:sz w:val="32"/>
          <w:szCs w:val="32"/>
        </w:rPr>
        <w:t>6</w:t>
      </w:r>
      <w:r>
        <w:rPr>
          <w:rFonts w:hint="eastAsia" w:ascii="仿宋_GB2312" w:eastAsia="仿宋_GB2312"/>
          <w:sz w:val="32"/>
          <w:szCs w:val="32"/>
        </w:rPr>
        <w:t xml:space="preserve"> 月</w:t>
      </w:r>
      <w:r>
        <w:rPr>
          <w:rFonts w:ascii="仿宋_GB2312" w:eastAsia="仿宋_GB2312"/>
          <w:sz w:val="32"/>
          <w:szCs w:val="32"/>
        </w:rPr>
        <w:t>22</w:t>
      </w:r>
      <w:r>
        <w:rPr>
          <w:rFonts w:hint="eastAsia" w:ascii="仿宋_GB2312" w:eastAsia="仿宋_GB2312"/>
          <w:sz w:val="32"/>
          <w:szCs w:val="32"/>
        </w:rPr>
        <w:t>日，评价小组结合已有资料与数据开始撰写报告，并与相关单位进行积极沟通，修改报告。</w:t>
      </w:r>
    </w:p>
    <w:p>
      <w:pPr>
        <w:pStyle w:val="3"/>
        <w:keepNext w:val="0"/>
        <w:keepLines w:val="0"/>
        <w:spacing w:before="0" w:after="0" w:line="360" w:lineRule="auto"/>
        <w:ind w:firstLine="642" w:firstLineChars="200"/>
        <w:rPr>
          <w:rFonts w:ascii="黑体" w:hAnsi="黑体" w:eastAsia="楷体"/>
          <w:b w:val="0"/>
          <w:bCs w:val="0"/>
          <w:kern w:val="44"/>
          <w:szCs w:val="30"/>
        </w:rPr>
      </w:pPr>
      <w:bookmarkStart w:id="14" w:name="_Toc6563722"/>
      <w:bookmarkStart w:id="15" w:name="_Toc142062799"/>
      <w:r>
        <w:rPr>
          <w:rFonts w:hint="eastAsia" w:ascii="黑体" w:hAnsi="黑体" w:eastAsia="楷体"/>
          <w:kern w:val="44"/>
          <w:szCs w:val="30"/>
        </w:rPr>
        <w:t>（四）评价标准</w:t>
      </w:r>
      <w:bookmarkEnd w:id="14"/>
      <w:bookmarkEnd w:id="15"/>
    </w:p>
    <w:p>
      <w:pPr>
        <w:spacing w:line="360" w:lineRule="auto"/>
        <w:ind w:firstLine="640" w:firstLineChars="200"/>
        <w:rPr>
          <w:rFonts w:ascii="仿宋_GB2312" w:eastAsia="仿宋_GB2312"/>
          <w:sz w:val="32"/>
          <w:szCs w:val="32"/>
        </w:rPr>
      </w:pPr>
      <w:r>
        <w:rPr>
          <w:rFonts w:hint="eastAsia" w:ascii="仿宋_GB2312" w:eastAsia="仿宋_GB2312"/>
          <w:sz w:val="32"/>
          <w:szCs w:val="32"/>
        </w:rPr>
        <w:t>由于本次绩效评价属于项目财政支出绩效评价，评价小组设置了绩效评价指标体系。本次第三方根据绩效评价的方法及相关理论，结合本次绩效评价设置了评价标准，评价标准见表2-</w:t>
      </w:r>
      <w:r>
        <w:rPr>
          <w:rFonts w:ascii="仿宋_GB2312" w:eastAsia="仿宋_GB2312"/>
          <w:sz w:val="32"/>
          <w:szCs w:val="32"/>
        </w:rPr>
        <w:t>1</w:t>
      </w:r>
      <w:r>
        <w:rPr>
          <w:rFonts w:hint="eastAsia" w:ascii="仿宋_GB2312" w:eastAsia="仿宋_GB2312"/>
          <w:sz w:val="32"/>
          <w:szCs w:val="32"/>
        </w:rPr>
        <w:t>：</w:t>
      </w:r>
    </w:p>
    <w:p>
      <w:pPr>
        <w:spacing w:line="360" w:lineRule="auto"/>
        <w:ind w:firstLine="200"/>
        <w:jc w:val="center"/>
        <w:rPr>
          <w:rFonts w:ascii="仿宋_GB2312" w:eastAsia="仿宋_GB2312"/>
          <w:sz w:val="32"/>
          <w:szCs w:val="32"/>
        </w:rPr>
      </w:pPr>
      <w:r>
        <w:rPr>
          <w:rFonts w:ascii="仿宋_GB2312" w:eastAsia="仿宋_GB2312"/>
          <w:sz w:val="32"/>
          <w:szCs w:val="32"/>
        </w:rPr>
        <w:t xml:space="preserve">2-1 </w:t>
      </w:r>
      <w:r>
        <w:rPr>
          <w:rFonts w:hint="eastAsia" w:ascii="仿宋_GB2312" w:eastAsia="仿宋_GB2312"/>
          <w:sz w:val="32"/>
          <w:szCs w:val="32"/>
        </w:rPr>
        <w:t>绩效评价等级、评分标准</w:t>
      </w:r>
    </w:p>
    <w:tbl>
      <w:tblPr>
        <w:tblStyle w:val="12"/>
        <w:tblW w:w="8500" w:type="dxa"/>
        <w:tblInd w:w="0" w:type="dxa"/>
        <w:tblLayout w:type="fixed"/>
        <w:tblCellMar>
          <w:top w:w="0" w:type="dxa"/>
          <w:left w:w="108" w:type="dxa"/>
          <w:bottom w:w="0" w:type="dxa"/>
          <w:right w:w="108" w:type="dxa"/>
        </w:tblCellMar>
      </w:tblPr>
      <w:tblGrid>
        <w:gridCol w:w="1271"/>
        <w:gridCol w:w="2005"/>
        <w:gridCol w:w="1842"/>
        <w:gridCol w:w="1965"/>
        <w:gridCol w:w="1417"/>
      </w:tblGrid>
      <w:tr>
        <w:tblPrEx>
          <w:tblCellMar>
            <w:top w:w="0" w:type="dxa"/>
            <w:left w:w="108" w:type="dxa"/>
            <w:bottom w:w="0" w:type="dxa"/>
            <w:right w:w="108" w:type="dxa"/>
          </w:tblCellMar>
        </w:tblPrEx>
        <w:trPr>
          <w:trHeight w:val="540" w:hRule="atLeast"/>
          <w:tblHeader/>
        </w:trPr>
        <w:tc>
          <w:tcPr>
            <w:tcW w:w="1271" w:type="dxa"/>
            <w:tcBorders>
              <w:top w:val="single" w:color="auto" w:sz="4" w:space="0"/>
              <w:left w:val="single" w:color="auto" w:sz="4" w:space="0"/>
              <w:bottom w:val="single" w:color="auto" w:sz="4" w:space="0"/>
              <w:right w:val="single" w:color="auto" w:sz="4" w:space="0"/>
            </w:tcBorders>
            <w:noWrap/>
            <w:vAlign w:val="center"/>
          </w:tcPr>
          <w:p>
            <w:pPr>
              <w:widowControl/>
              <w:spacing w:line="560" w:lineRule="exact"/>
              <w:rPr>
                <w:rFonts w:ascii="宋体" w:hAnsi="宋体" w:cs="宋体"/>
                <w:color w:val="000000"/>
                <w:kern w:val="0"/>
                <w:sz w:val="24"/>
              </w:rPr>
            </w:pPr>
            <w:r>
              <w:rPr>
                <w:rFonts w:hint="eastAsia" w:ascii="宋体" w:hAnsi="宋体" w:cs="宋体"/>
                <w:color w:val="000000"/>
                <w:kern w:val="0"/>
                <w:sz w:val="24"/>
              </w:rPr>
              <w:t>评价等级</w:t>
            </w:r>
          </w:p>
        </w:tc>
        <w:tc>
          <w:tcPr>
            <w:tcW w:w="2005" w:type="dxa"/>
            <w:tcBorders>
              <w:top w:val="single" w:color="auto" w:sz="4" w:space="0"/>
              <w:left w:val="nil"/>
              <w:bottom w:val="single" w:color="auto" w:sz="4" w:space="0"/>
              <w:right w:val="single" w:color="auto" w:sz="4" w:space="0"/>
            </w:tcBorders>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优</w:t>
            </w:r>
          </w:p>
        </w:tc>
        <w:tc>
          <w:tcPr>
            <w:tcW w:w="1842" w:type="dxa"/>
            <w:tcBorders>
              <w:top w:val="single" w:color="auto" w:sz="4" w:space="0"/>
              <w:left w:val="nil"/>
              <w:bottom w:val="single" w:color="auto" w:sz="4" w:space="0"/>
              <w:right w:val="single" w:color="auto" w:sz="4" w:space="0"/>
            </w:tcBorders>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良</w:t>
            </w:r>
          </w:p>
        </w:tc>
        <w:tc>
          <w:tcPr>
            <w:tcW w:w="1965" w:type="dxa"/>
            <w:tcBorders>
              <w:top w:val="single" w:color="auto" w:sz="4" w:space="0"/>
              <w:left w:val="nil"/>
              <w:bottom w:val="single" w:color="auto" w:sz="4" w:space="0"/>
              <w:right w:val="single" w:color="auto" w:sz="4" w:space="0"/>
            </w:tcBorders>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中</w:t>
            </w:r>
          </w:p>
        </w:tc>
        <w:tc>
          <w:tcPr>
            <w:tcW w:w="1417" w:type="dxa"/>
            <w:tcBorders>
              <w:top w:val="single" w:color="auto" w:sz="4" w:space="0"/>
              <w:left w:val="nil"/>
              <w:bottom w:val="single" w:color="auto" w:sz="4" w:space="0"/>
              <w:right w:val="single" w:color="auto" w:sz="4" w:space="0"/>
            </w:tcBorders>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差</w:t>
            </w:r>
          </w:p>
        </w:tc>
      </w:tr>
      <w:tr>
        <w:tblPrEx>
          <w:tblCellMar>
            <w:top w:w="0" w:type="dxa"/>
            <w:left w:w="108" w:type="dxa"/>
            <w:bottom w:w="0" w:type="dxa"/>
            <w:right w:w="108" w:type="dxa"/>
          </w:tblCellMar>
        </w:tblPrEx>
        <w:trPr>
          <w:trHeight w:val="770" w:hRule="atLeast"/>
        </w:trPr>
        <w:tc>
          <w:tcPr>
            <w:tcW w:w="1271" w:type="dxa"/>
            <w:tcBorders>
              <w:top w:val="nil"/>
              <w:left w:val="single" w:color="auto" w:sz="4" w:space="0"/>
              <w:bottom w:val="single" w:color="auto" w:sz="4" w:space="0"/>
              <w:right w:val="single" w:color="auto" w:sz="4" w:space="0"/>
            </w:tcBorders>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评分</w:t>
            </w:r>
          </w:p>
        </w:tc>
        <w:tc>
          <w:tcPr>
            <w:tcW w:w="2005" w:type="dxa"/>
            <w:tcBorders>
              <w:top w:val="nil"/>
              <w:left w:val="nil"/>
              <w:bottom w:val="single" w:color="auto" w:sz="4" w:space="0"/>
              <w:right w:val="single" w:color="auto" w:sz="4" w:space="0"/>
            </w:tcBorders>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90（含）-100分</w:t>
            </w:r>
          </w:p>
        </w:tc>
        <w:tc>
          <w:tcPr>
            <w:tcW w:w="1842" w:type="dxa"/>
            <w:tcBorders>
              <w:top w:val="nil"/>
              <w:left w:val="nil"/>
              <w:bottom w:val="single" w:color="auto" w:sz="4" w:space="0"/>
              <w:right w:val="single" w:color="auto" w:sz="4" w:space="0"/>
            </w:tcBorders>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80（含）-90分</w:t>
            </w:r>
          </w:p>
        </w:tc>
        <w:tc>
          <w:tcPr>
            <w:tcW w:w="1965" w:type="dxa"/>
            <w:tcBorders>
              <w:top w:val="nil"/>
              <w:left w:val="nil"/>
              <w:bottom w:val="single" w:color="auto" w:sz="4" w:space="0"/>
              <w:right w:val="single" w:color="auto" w:sz="4" w:space="0"/>
            </w:tcBorders>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60（含）-80分</w:t>
            </w:r>
          </w:p>
        </w:tc>
        <w:tc>
          <w:tcPr>
            <w:tcW w:w="1417" w:type="dxa"/>
            <w:tcBorders>
              <w:top w:val="nil"/>
              <w:left w:val="nil"/>
              <w:bottom w:val="single" w:color="auto" w:sz="4" w:space="0"/>
              <w:right w:val="single" w:color="auto" w:sz="4" w:space="0"/>
            </w:tcBorders>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60分以下</w:t>
            </w:r>
          </w:p>
        </w:tc>
      </w:tr>
    </w:tbl>
    <w:p>
      <w:pPr>
        <w:pStyle w:val="2"/>
      </w:pPr>
      <w:bookmarkStart w:id="16" w:name="_Toc142062800"/>
      <w:r>
        <w:rPr>
          <w:rFonts w:hint="eastAsia"/>
        </w:rPr>
        <w:t>三、总体评价结论</w:t>
      </w:r>
      <w:bookmarkEnd w:id="16"/>
    </w:p>
    <w:p>
      <w:pPr>
        <w:keepNext/>
        <w:keepLines/>
        <w:spacing w:line="360" w:lineRule="auto"/>
        <w:ind w:firstLine="642" w:firstLineChars="200"/>
        <w:outlineLvl w:val="1"/>
        <w:rPr>
          <w:rFonts w:ascii="黑体" w:hAnsi="黑体" w:eastAsia="楷体"/>
          <w:b/>
          <w:bCs/>
          <w:kern w:val="44"/>
          <w:sz w:val="32"/>
          <w:szCs w:val="30"/>
        </w:rPr>
      </w:pPr>
      <w:bookmarkStart w:id="17" w:name="_Toc142062801"/>
      <w:r>
        <w:rPr>
          <w:rFonts w:hint="eastAsia" w:ascii="黑体" w:hAnsi="黑体" w:eastAsia="楷体"/>
          <w:b/>
          <w:bCs/>
          <w:kern w:val="44"/>
          <w:sz w:val="32"/>
          <w:szCs w:val="30"/>
        </w:rPr>
        <w:t>（一）评价得分情况</w:t>
      </w:r>
      <w:bookmarkEnd w:id="17"/>
    </w:p>
    <w:p>
      <w:pPr>
        <w:adjustRightInd w:val="0"/>
        <w:spacing w:line="360" w:lineRule="auto"/>
        <w:ind w:firstLine="640" w:firstLineChars="200"/>
        <w:rPr>
          <w:rFonts w:ascii="仿宋_GB2312" w:hAnsi="宋体" w:eastAsia="仿宋_GB2312" w:cs="仿宋_GB2312"/>
          <w:sz w:val="32"/>
          <w:szCs w:val="32"/>
        </w:rPr>
      </w:pPr>
      <w:r>
        <w:rPr>
          <w:rFonts w:hint="eastAsia" w:ascii="仿宋_GB2312" w:hAnsi="宋体" w:eastAsia="仿宋_GB2312" w:cs="仿宋_GB2312"/>
          <w:sz w:val="32"/>
          <w:szCs w:val="32"/>
        </w:rPr>
        <w:t>石狮市2022年度时花采购项目绩效评价得分为</w:t>
      </w:r>
      <w:r>
        <w:rPr>
          <w:rFonts w:ascii="仿宋_GB2312" w:hAnsi="宋体" w:eastAsia="仿宋_GB2312"/>
          <w:sz w:val="32"/>
          <w:szCs w:val="32"/>
        </w:rPr>
        <w:t>78.23</w:t>
      </w:r>
      <w:r>
        <w:rPr>
          <w:rFonts w:hint="eastAsia" w:ascii="仿宋_GB2312" w:hAnsi="宋体" w:eastAsia="仿宋_GB2312"/>
          <w:sz w:val="32"/>
          <w:szCs w:val="32"/>
        </w:rPr>
        <w:t>分</w:t>
      </w:r>
      <w:r>
        <w:rPr>
          <w:rFonts w:hint="eastAsia" w:ascii="仿宋_GB2312" w:hAnsi="宋体" w:eastAsia="仿宋_GB2312" w:cs="仿宋_GB2312"/>
          <w:sz w:val="32"/>
          <w:szCs w:val="32"/>
        </w:rPr>
        <w:t>,绩效评价等级为“中”。</w:t>
      </w:r>
    </w:p>
    <w:p>
      <w:pPr>
        <w:adjustRightInd w:val="0"/>
        <w:spacing w:line="360" w:lineRule="auto"/>
        <w:ind w:firstLine="640" w:firstLineChars="200"/>
        <w:rPr>
          <w:rFonts w:ascii="仿宋_GB2312" w:hAnsi="宋体" w:eastAsia="仿宋_GB2312" w:cs="仿宋_GB2312"/>
          <w:sz w:val="32"/>
          <w:szCs w:val="32"/>
        </w:rPr>
      </w:pPr>
      <w:r>
        <w:rPr>
          <w:rFonts w:hint="eastAsia" w:ascii="仿宋_GB2312" w:hAnsi="宋体" w:eastAsia="仿宋_GB2312" w:cs="仿宋_GB2312"/>
          <w:sz w:val="32"/>
          <w:szCs w:val="32"/>
        </w:rPr>
        <w:t>石狮市2022年度时花采购项目有效维护、打造市区时花景观，美化了石狮市城市环境，产出效果良好，基本达到预期目标，在项目实施期间市园林环卫中心按计划开展采购工作，确保了重要节日、重大活动的时花摆放。但项目单位在优化、细化招标文件，加强供应商考核管理，降本增效方面，按合同约定支付款项方面还有提升的空间。绩效评价得分情况见表3-</w:t>
      </w:r>
      <w:r>
        <w:rPr>
          <w:rFonts w:ascii="仿宋_GB2312" w:hAnsi="宋体" w:eastAsia="仿宋_GB2312" w:cs="仿宋_GB2312"/>
          <w:sz w:val="32"/>
          <w:szCs w:val="32"/>
        </w:rPr>
        <w:t>1</w:t>
      </w:r>
      <w:r>
        <w:rPr>
          <w:rFonts w:hint="eastAsia" w:ascii="仿宋_GB2312" w:hAnsi="宋体" w:eastAsia="仿宋_GB2312" w:cs="仿宋_GB2312"/>
          <w:sz w:val="32"/>
          <w:szCs w:val="32"/>
        </w:rPr>
        <w:t xml:space="preserve">： </w:t>
      </w:r>
    </w:p>
    <w:p>
      <w:pPr>
        <w:adjustRightInd w:val="0"/>
        <w:spacing w:line="360" w:lineRule="auto"/>
        <w:jc w:val="center"/>
        <w:rPr>
          <w:rFonts w:ascii="仿宋_GB2312" w:eastAsia="仿宋_GB2312"/>
          <w:sz w:val="32"/>
          <w:szCs w:val="32"/>
        </w:rPr>
      </w:pPr>
      <w:r>
        <w:rPr>
          <w:rFonts w:ascii="仿宋_GB2312" w:eastAsia="仿宋_GB2312"/>
          <w:sz w:val="32"/>
          <w:szCs w:val="32"/>
        </w:rPr>
        <w:t xml:space="preserve">3-1 </w:t>
      </w:r>
      <w:r>
        <w:rPr>
          <w:rFonts w:hint="eastAsia" w:ascii="仿宋_GB2312" w:eastAsia="仿宋_GB2312"/>
          <w:sz w:val="32"/>
          <w:szCs w:val="32"/>
        </w:rPr>
        <w:t>绩效评价得分表</w:t>
      </w:r>
    </w:p>
    <w:tbl>
      <w:tblPr>
        <w:tblStyle w:val="12"/>
        <w:tblW w:w="82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1559"/>
        <w:gridCol w:w="3686"/>
        <w:gridCol w:w="850"/>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blHeader/>
        </w:trPr>
        <w:tc>
          <w:tcPr>
            <w:tcW w:w="1271" w:type="dxa"/>
            <w:shd w:val="clear" w:color="auto" w:fill="auto"/>
            <w:vAlign w:val="center"/>
          </w:tcPr>
          <w:p>
            <w:pPr>
              <w:widowControl/>
              <w:jc w:val="center"/>
              <w:rPr>
                <w:rFonts w:ascii="宋体" w:hAnsi="宋体" w:cs="宋体"/>
                <w:b/>
                <w:bCs/>
                <w:color w:val="000000"/>
                <w:kern w:val="0"/>
                <w:sz w:val="24"/>
              </w:rPr>
            </w:pPr>
            <w:r>
              <w:rPr>
                <w:rFonts w:hint="eastAsia" w:ascii="宋体" w:hAnsi="宋体" w:cs="宋体"/>
                <w:b/>
                <w:bCs/>
                <w:color w:val="000000"/>
                <w:kern w:val="0"/>
                <w:sz w:val="24"/>
              </w:rPr>
              <w:t>一级指标</w:t>
            </w:r>
          </w:p>
        </w:tc>
        <w:tc>
          <w:tcPr>
            <w:tcW w:w="1559" w:type="dxa"/>
            <w:shd w:val="clear" w:color="auto" w:fill="auto"/>
            <w:vAlign w:val="center"/>
          </w:tcPr>
          <w:p>
            <w:pPr>
              <w:widowControl/>
              <w:jc w:val="center"/>
              <w:rPr>
                <w:rFonts w:ascii="宋体" w:hAnsi="宋体" w:cs="宋体"/>
                <w:b/>
                <w:bCs/>
                <w:color w:val="000000"/>
                <w:kern w:val="0"/>
                <w:sz w:val="24"/>
              </w:rPr>
            </w:pPr>
            <w:r>
              <w:rPr>
                <w:rFonts w:hint="eastAsia" w:ascii="宋体" w:hAnsi="宋体" w:cs="宋体"/>
                <w:b/>
                <w:bCs/>
                <w:color w:val="000000"/>
                <w:kern w:val="0"/>
                <w:sz w:val="24"/>
              </w:rPr>
              <w:t>二级指标</w:t>
            </w:r>
          </w:p>
        </w:tc>
        <w:tc>
          <w:tcPr>
            <w:tcW w:w="3686" w:type="dxa"/>
            <w:shd w:val="clear" w:color="auto" w:fill="auto"/>
            <w:vAlign w:val="center"/>
          </w:tcPr>
          <w:p>
            <w:pPr>
              <w:widowControl/>
              <w:jc w:val="center"/>
              <w:rPr>
                <w:rFonts w:ascii="宋体" w:hAnsi="宋体" w:cs="宋体"/>
                <w:b/>
                <w:bCs/>
                <w:color w:val="000000"/>
                <w:kern w:val="0"/>
                <w:sz w:val="24"/>
              </w:rPr>
            </w:pPr>
            <w:r>
              <w:rPr>
                <w:rFonts w:hint="eastAsia" w:ascii="宋体" w:hAnsi="宋体" w:cs="宋体"/>
                <w:b/>
                <w:bCs/>
                <w:color w:val="000000"/>
                <w:kern w:val="0"/>
                <w:sz w:val="24"/>
              </w:rPr>
              <w:t>三级指标</w:t>
            </w:r>
          </w:p>
        </w:tc>
        <w:tc>
          <w:tcPr>
            <w:tcW w:w="850" w:type="dxa"/>
            <w:shd w:val="clear" w:color="auto" w:fill="auto"/>
            <w:noWrap/>
            <w:vAlign w:val="center"/>
          </w:tcPr>
          <w:p>
            <w:pPr>
              <w:widowControl/>
              <w:jc w:val="center"/>
              <w:rPr>
                <w:rFonts w:ascii="宋体" w:hAnsi="宋体" w:cs="宋体"/>
                <w:b/>
                <w:bCs/>
                <w:color w:val="000000"/>
                <w:kern w:val="0"/>
                <w:sz w:val="24"/>
              </w:rPr>
            </w:pPr>
            <w:r>
              <w:rPr>
                <w:rFonts w:hint="eastAsia" w:ascii="宋体" w:hAnsi="宋体" w:cs="宋体"/>
                <w:b/>
                <w:bCs/>
                <w:color w:val="000000"/>
                <w:kern w:val="0"/>
                <w:sz w:val="24"/>
              </w:rPr>
              <w:t>分值</w:t>
            </w:r>
          </w:p>
        </w:tc>
        <w:tc>
          <w:tcPr>
            <w:tcW w:w="851" w:type="dxa"/>
            <w:shd w:val="clear" w:color="auto" w:fill="auto"/>
            <w:noWrap/>
            <w:vAlign w:val="center"/>
          </w:tcPr>
          <w:p>
            <w:pPr>
              <w:widowControl/>
              <w:jc w:val="center"/>
              <w:rPr>
                <w:rFonts w:ascii="宋体" w:hAnsi="宋体" w:cs="宋体"/>
                <w:b/>
                <w:bCs/>
                <w:color w:val="000000"/>
                <w:kern w:val="0"/>
                <w:sz w:val="24"/>
              </w:rPr>
            </w:pPr>
            <w:r>
              <w:rPr>
                <w:rFonts w:hint="eastAsia" w:ascii="宋体" w:hAnsi="宋体" w:cs="宋体"/>
                <w:b/>
                <w:bCs/>
                <w:color w:val="000000"/>
                <w:kern w:val="0"/>
                <w:sz w:val="24"/>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restart"/>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A决策(10分）</w:t>
            </w:r>
          </w:p>
        </w:tc>
        <w:tc>
          <w:tcPr>
            <w:tcW w:w="1559" w:type="dxa"/>
            <w:vMerge w:val="restart"/>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A1项目立项</w:t>
            </w: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A11立项依据充分性</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1.5</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A12立项程序规范性</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1.5</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restart"/>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A2绩效目标</w:t>
            </w: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A21绩效目标合理性</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A22绩效指标明确性</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restart"/>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A3资金投入</w:t>
            </w: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A31预算编制科学性</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A32资金分配合理性</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1</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restart"/>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B过程（25分）</w:t>
            </w:r>
          </w:p>
        </w:tc>
        <w:tc>
          <w:tcPr>
            <w:tcW w:w="1559" w:type="dxa"/>
            <w:vMerge w:val="restart"/>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B1资金管理</w:t>
            </w: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B11资金到位率</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B12预算执行率</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3</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B13资金使用合规性</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restart"/>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B2组织实施</w:t>
            </w: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B21单位管理制度健全性</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B22供应商考核管理制度健全性</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B23制度执行有效性</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3</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B24政府采购方式和程序合规性</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1.5</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B25政府采购政策执行情况</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B26政府采购内控管理</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1.5</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restart"/>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C产出（40分）</w:t>
            </w:r>
          </w:p>
        </w:tc>
        <w:tc>
          <w:tcPr>
            <w:tcW w:w="1559" w:type="dxa"/>
            <w:vMerge w:val="restart"/>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C1产出数量</w:t>
            </w: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C11采购数量完成率</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C12时花存活率</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C13时花更换次数</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C14摆放路段完成情况</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restart"/>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C2产出质量</w:t>
            </w: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C21采购执行效率</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C22合同履约情况</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C23项目执行过程管理情况</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C24供应商质量</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C25采购品种</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4</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C3产出时限</w:t>
            </w: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C31采购及时率</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C4产出成本</w:t>
            </w: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C41成本节约率</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restart"/>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D效益（25分）</w:t>
            </w:r>
          </w:p>
        </w:tc>
        <w:tc>
          <w:tcPr>
            <w:tcW w:w="1559" w:type="dxa"/>
            <w:vMerge w:val="restart"/>
            <w:shd w:val="clear" w:color="auto" w:fill="auto"/>
            <w:vAlign w:val="center"/>
          </w:tcPr>
          <w:p>
            <w:pPr>
              <w:widowControl/>
              <w:jc w:val="center"/>
              <w:rPr>
                <w:rFonts w:ascii="宋体" w:hAnsi="宋体" w:cs="宋体"/>
                <w:color w:val="000000"/>
                <w:kern w:val="0"/>
                <w:sz w:val="24"/>
              </w:rPr>
            </w:pPr>
            <w:r>
              <w:rPr>
                <w:rFonts w:hint="eastAsia" w:ascii="宋体" w:hAnsi="宋体" w:cs="宋体"/>
                <w:color w:val="000000"/>
                <w:kern w:val="0"/>
                <w:sz w:val="24"/>
              </w:rPr>
              <w:t>D1实施效益</w:t>
            </w: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D11美化环境、提升生活品质的效果</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10</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9.25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vMerge w:val="continue"/>
            <w:vAlign w:val="center"/>
          </w:tcPr>
          <w:p>
            <w:pPr>
              <w:widowControl/>
              <w:jc w:val="left"/>
              <w:rPr>
                <w:rFonts w:ascii="宋体" w:hAnsi="宋体" w:cs="宋体"/>
                <w:color w:val="000000"/>
                <w:kern w:val="0"/>
                <w:sz w:val="24"/>
              </w:rPr>
            </w:pP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D12绿化景观面貌优良率</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5</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vMerge w:val="continue"/>
            <w:vAlign w:val="center"/>
          </w:tcPr>
          <w:p>
            <w:pPr>
              <w:widowControl/>
              <w:jc w:val="left"/>
              <w:rPr>
                <w:rFonts w:ascii="宋体" w:hAnsi="宋体" w:cs="宋体"/>
                <w:color w:val="000000"/>
                <w:kern w:val="0"/>
                <w:sz w:val="24"/>
              </w:rPr>
            </w:pPr>
          </w:p>
        </w:tc>
        <w:tc>
          <w:tcPr>
            <w:tcW w:w="1559"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D2满意度</w:t>
            </w: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D21市民、群众满意度</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10</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271"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合计</w:t>
            </w:r>
          </w:p>
        </w:tc>
        <w:tc>
          <w:tcPr>
            <w:tcW w:w="1559"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　</w:t>
            </w:r>
          </w:p>
        </w:tc>
        <w:tc>
          <w:tcPr>
            <w:tcW w:w="3686" w:type="dxa"/>
            <w:shd w:val="clear" w:color="auto" w:fill="auto"/>
            <w:vAlign w:val="center"/>
          </w:tcPr>
          <w:p>
            <w:pPr>
              <w:widowControl/>
              <w:jc w:val="left"/>
              <w:rPr>
                <w:rFonts w:ascii="宋体" w:hAnsi="宋体" w:cs="宋体"/>
                <w:color w:val="000000"/>
                <w:kern w:val="0"/>
                <w:sz w:val="24"/>
              </w:rPr>
            </w:pPr>
            <w:r>
              <w:rPr>
                <w:rFonts w:hint="eastAsia" w:ascii="宋体" w:hAnsi="宋体" w:cs="宋体"/>
                <w:color w:val="000000"/>
                <w:kern w:val="0"/>
                <w:sz w:val="24"/>
              </w:rPr>
              <w:t>　</w:t>
            </w:r>
          </w:p>
        </w:tc>
        <w:tc>
          <w:tcPr>
            <w:tcW w:w="850"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100</w:t>
            </w:r>
          </w:p>
        </w:tc>
        <w:tc>
          <w:tcPr>
            <w:tcW w:w="851" w:type="dxa"/>
            <w:shd w:val="clear" w:color="auto" w:fill="auto"/>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78.23</w:t>
            </w:r>
          </w:p>
        </w:tc>
      </w:tr>
    </w:tbl>
    <w:p>
      <w:pPr>
        <w:adjustRightInd w:val="0"/>
        <w:spacing w:line="360" w:lineRule="auto"/>
        <w:jc w:val="center"/>
        <w:rPr>
          <w:rFonts w:ascii="仿宋_GB2312" w:eastAsia="仿宋_GB2312"/>
          <w:sz w:val="32"/>
          <w:szCs w:val="32"/>
        </w:rPr>
      </w:pPr>
    </w:p>
    <w:p>
      <w:pPr>
        <w:keepNext/>
        <w:keepLines/>
        <w:spacing w:line="360" w:lineRule="auto"/>
        <w:ind w:firstLine="642" w:firstLineChars="200"/>
        <w:outlineLvl w:val="1"/>
        <w:rPr>
          <w:rFonts w:ascii="黑体" w:hAnsi="黑体" w:eastAsia="楷体"/>
          <w:b/>
          <w:bCs/>
          <w:kern w:val="44"/>
          <w:sz w:val="32"/>
          <w:szCs w:val="30"/>
        </w:rPr>
      </w:pPr>
      <w:bookmarkStart w:id="18" w:name="_Toc142062802"/>
      <w:r>
        <w:rPr>
          <w:rFonts w:hint="eastAsia" w:ascii="黑体" w:hAnsi="黑体" w:eastAsia="楷体"/>
          <w:b/>
          <w:bCs/>
          <w:kern w:val="44"/>
          <w:sz w:val="32"/>
          <w:szCs w:val="30"/>
        </w:rPr>
        <w:t>（二）项目支出所实现的主要绩效</w:t>
      </w:r>
      <w:bookmarkEnd w:id="18"/>
      <w:bookmarkStart w:id="19" w:name="_Hlk106784795"/>
    </w:p>
    <w:p>
      <w:pPr>
        <w:adjustRightInd w:val="0"/>
        <w:spacing w:line="360" w:lineRule="auto"/>
        <w:ind w:firstLine="640" w:firstLineChars="200"/>
        <w:rPr>
          <w:rFonts w:ascii="仿宋_GB2312" w:eastAsia="仿宋_GB2312"/>
          <w:sz w:val="32"/>
          <w:szCs w:val="32"/>
        </w:rPr>
      </w:pPr>
      <w:r>
        <w:rPr>
          <w:rFonts w:hint="eastAsia" w:ascii="仿宋_GB2312" w:eastAsia="仿宋_GB2312"/>
          <w:sz w:val="32"/>
          <w:szCs w:val="32"/>
        </w:rPr>
        <w:t>市园林环卫中心打造城市景观工程，时花种植突出节点，打造亮点，提升绿化、美化水平，为重要节假日营造氛围，美化城市环境，提升城市颜值品位，改善了人居环境，提升了人民群众的幸福感、获得感。</w:t>
      </w:r>
      <w:bookmarkEnd w:id="19"/>
    </w:p>
    <w:p>
      <w:pPr>
        <w:pStyle w:val="2"/>
        <w:keepNext w:val="0"/>
        <w:keepLines w:val="0"/>
      </w:pPr>
      <w:bookmarkStart w:id="20" w:name="_Toc142062803"/>
      <w:r>
        <w:rPr>
          <w:rFonts w:hint="eastAsia"/>
        </w:rPr>
        <w:t>四、绩效管理和实现过程分析</w:t>
      </w:r>
      <w:bookmarkEnd w:id="20"/>
    </w:p>
    <w:p>
      <w:pPr>
        <w:spacing w:line="360" w:lineRule="auto"/>
        <w:ind w:firstLine="642" w:firstLineChars="200"/>
        <w:outlineLvl w:val="1"/>
        <w:rPr>
          <w:rFonts w:ascii="黑体" w:hAnsi="黑体" w:eastAsia="楷体"/>
          <w:b/>
          <w:bCs/>
          <w:kern w:val="44"/>
          <w:sz w:val="32"/>
          <w:szCs w:val="30"/>
        </w:rPr>
      </w:pPr>
      <w:bookmarkStart w:id="21" w:name="_Toc142062804"/>
      <w:r>
        <w:rPr>
          <w:rFonts w:hint="eastAsia" w:ascii="黑体" w:hAnsi="黑体" w:eastAsia="楷体"/>
          <w:b/>
          <w:bCs/>
          <w:kern w:val="44"/>
          <w:sz w:val="32"/>
          <w:szCs w:val="30"/>
        </w:rPr>
        <w:t>（一）绩效目标评价分析</w:t>
      </w:r>
      <w:bookmarkEnd w:id="21"/>
    </w:p>
    <w:p>
      <w:pPr>
        <w:adjustRightInd w:val="0"/>
        <w:spacing w:line="360" w:lineRule="auto"/>
        <w:ind w:firstLine="640" w:firstLineChars="200"/>
        <w:rPr>
          <w:rFonts w:ascii="仿宋_GB2312" w:eastAsia="仿宋_GB2312"/>
          <w:sz w:val="32"/>
          <w:szCs w:val="32"/>
        </w:rPr>
      </w:pPr>
      <w:r>
        <w:rPr>
          <w:rFonts w:hint="eastAsia" w:ascii="仿宋_GB2312" w:eastAsia="仿宋_GB2312"/>
          <w:sz w:val="32"/>
          <w:szCs w:val="32"/>
        </w:rPr>
        <w:t>市园林环卫中心根据</w:t>
      </w:r>
      <w:r>
        <w:rPr>
          <w:rFonts w:ascii="仿宋_GB2312" w:eastAsia="仿宋_GB2312"/>
          <w:sz w:val="32"/>
          <w:szCs w:val="32"/>
        </w:rPr>
        <w:t>本项目特点，设置了</w:t>
      </w:r>
      <w:r>
        <w:rPr>
          <w:rFonts w:hint="eastAsia" w:ascii="仿宋_GB2312" w:eastAsia="仿宋_GB2312"/>
          <w:sz w:val="32"/>
          <w:szCs w:val="32"/>
        </w:rPr>
        <w:t>2</w:t>
      </w:r>
      <w:r>
        <w:rPr>
          <w:rFonts w:ascii="仿宋_GB2312" w:eastAsia="仿宋_GB2312"/>
          <w:sz w:val="32"/>
          <w:szCs w:val="32"/>
        </w:rPr>
        <w:t>022</w:t>
      </w:r>
      <w:r>
        <w:rPr>
          <w:rFonts w:hint="eastAsia" w:ascii="仿宋_GB2312" w:eastAsia="仿宋_GB2312"/>
          <w:sz w:val="32"/>
          <w:szCs w:val="32"/>
        </w:rPr>
        <w:t>年度时花采购专项资金绩效目标申报表</w:t>
      </w:r>
      <w:r>
        <w:rPr>
          <w:rFonts w:ascii="仿宋_GB2312" w:eastAsia="仿宋_GB2312"/>
          <w:sz w:val="32"/>
          <w:szCs w:val="32"/>
        </w:rPr>
        <w:t>，</w:t>
      </w:r>
      <w:r>
        <w:rPr>
          <w:rFonts w:hint="eastAsia" w:ascii="仿宋_GB2312" w:eastAsia="仿宋_GB2312"/>
          <w:sz w:val="32"/>
          <w:szCs w:val="32"/>
        </w:rPr>
        <w:t>设置的绩效指标符合项目基本情况。具体指标情况见表4-</w:t>
      </w:r>
      <w:r>
        <w:rPr>
          <w:rFonts w:ascii="仿宋_GB2312" w:eastAsia="仿宋_GB2312"/>
          <w:sz w:val="32"/>
          <w:szCs w:val="32"/>
        </w:rPr>
        <w:t>1</w:t>
      </w:r>
      <w:r>
        <w:rPr>
          <w:rFonts w:hint="eastAsia" w:ascii="仿宋_GB2312" w:eastAsia="仿宋_GB2312"/>
          <w:sz w:val="32"/>
          <w:szCs w:val="32"/>
        </w:rPr>
        <w:t>：</w:t>
      </w:r>
    </w:p>
    <w:p>
      <w:pPr>
        <w:adjustRightInd w:val="0"/>
        <w:spacing w:line="360" w:lineRule="auto"/>
        <w:jc w:val="center"/>
        <w:rPr>
          <w:rFonts w:ascii="仿宋_GB2312" w:eastAsia="仿宋_GB2312"/>
          <w:sz w:val="32"/>
          <w:szCs w:val="32"/>
        </w:rPr>
      </w:pPr>
      <w:r>
        <w:rPr>
          <w:rFonts w:ascii="仿宋_GB2312" w:eastAsia="仿宋_GB2312"/>
          <w:sz w:val="32"/>
          <w:szCs w:val="32"/>
        </w:rPr>
        <w:t>4-1</w:t>
      </w:r>
      <w:r>
        <w:rPr>
          <w:rFonts w:hint="eastAsia" w:ascii="仿宋_GB2312" w:eastAsia="仿宋_GB2312"/>
          <w:sz w:val="32"/>
          <w:szCs w:val="32"/>
        </w:rPr>
        <w:t>时花采购专项资金绩效目标申报情况</w:t>
      </w:r>
    </w:p>
    <w:tbl>
      <w:tblPr>
        <w:tblStyle w:val="12"/>
        <w:tblW w:w="83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5"/>
        <w:gridCol w:w="2409"/>
        <w:gridCol w:w="2410"/>
        <w:gridCol w:w="19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blHeader/>
        </w:trPr>
        <w:tc>
          <w:tcPr>
            <w:tcW w:w="1555"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一级指标</w:t>
            </w:r>
          </w:p>
        </w:tc>
        <w:tc>
          <w:tcPr>
            <w:tcW w:w="2409"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二级指标</w:t>
            </w:r>
          </w:p>
        </w:tc>
        <w:tc>
          <w:tcPr>
            <w:tcW w:w="2410"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三级指标</w:t>
            </w:r>
          </w:p>
        </w:tc>
        <w:tc>
          <w:tcPr>
            <w:tcW w:w="1985"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绩效目标值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555" w:type="dxa"/>
            <w:vMerge w:val="restart"/>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产出指标</w:t>
            </w:r>
          </w:p>
        </w:tc>
        <w:tc>
          <w:tcPr>
            <w:tcW w:w="2409"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时效指标</w:t>
            </w:r>
          </w:p>
        </w:tc>
        <w:tc>
          <w:tcPr>
            <w:tcW w:w="2410"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项目完成时限</w:t>
            </w:r>
          </w:p>
        </w:tc>
        <w:tc>
          <w:tcPr>
            <w:tcW w:w="1985"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≤1年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555" w:type="dxa"/>
            <w:vMerge w:val="continue"/>
            <w:vAlign w:val="center"/>
          </w:tcPr>
          <w:p>
            <w:pPr>
              <w:widowControl/>
              <w:spacing w:line="560" w:lineRule="exact"/>
              <w:jc w:val="left"/>
              <w:rPr>
                <w:rFonts w:ascii="宋体" w:hAnsi="宋体" w:cs="宋体"/>
                <w:color w:val="000000"/>
                <w:kern w:val="0"/>
                <w:sz w:val="24"/>
              </w:rPr>
            </w:pPr>
          </w:p>
        </w:tc>
        <w:tc>
          <w:tcPr>
            <w:tcW w:w="2409"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成本指标</w:t>
            </w:r>
          </w:p>
        </w:tc>
        <w:tc>
          <w:tcPr>
            <w:tcW w:w="2410"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绿化采购投入金额</w:t>
            </w:r>
          </w:p>
        </w:tc>
        <w:tc>
          <w:tcPr>
            <w:tcW w:w="1985"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≤690万元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555" w:type="dxa"/>
            <w:vMerge w:val="continue"/>
            <w:vAlign w:val="center"/>
          </w:tcPr>
          <w:p>
            <w:pPr>
              <w:widowControl/>
              <w:spacing w:line="560" w:lineRule="exact"/>
              <w:jc w:val="left"/>
              <w:rPr>
                <w:rFonts w:ascii="宋体" w:hAnsi="宋体" w:cs="宋体"/>
                <w:color w:val="000000"/>
                <w:kern w:val="0"/>
                <w:sz w:val="24"/>
              </w:rPr>
            </w:pPr>
          </w:p>
        </w:tc>
        <w:tc>
          <w:tcPr>
            <w:tcW w:w="2409" w:type="dxa"/>
            <w:vMerge w:val="restart"/>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数量指标</w:t>
            </w:r>
          </w:p>
        </w:tc>
        <w:tc>
          <w:tcPr>
            <w:tcW w:w="2410"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时花采购面积</w:t>
            </w:r>
          </w:p>
        </w:tc>
        <w:tc>
          <w:tcPr>
            <w:tcW w:w="1985"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≥20000平方米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555" w:type="dxa"/>
            <w:vMerge w:val="continue"/>
            <w:vAlign w:val="center"/>
          </w:tcPr>
          <w:p>
            <w:pPr>
              <w:widowControl/>
              <w:spacing w:line="560" w:lineRule="exact"/>
              <w:jc w:val="left"/>
              <w:rPr>
                <w:rFonts w:ascii="宋体" w:hAnsi="宋体" w:cs="宋体"/>
                <w:color w:val="000000"/>
                <w:kern w:val="0"/>
                <w:sz w:val="24"/>
              </w:rPr>
            </w:pPr>
          </w:p>
        </w:tc>
        <w:tc>
          <w:tcPr>
            <w:tcW w:w="2409" w:type="dxa"/>
            <w:vMerge w:val="continue"/>
            <w:vAlign w:val="center"/>
          </w:tcPr>
          <w:p>
            <w:pPr>
              <w:widowControl/>
              <w:spacing w:line="560" w:lineRule="exact"/>
              <w:jc w:val="left"/>
              <w:rPr>
                <w:rFonts w:ascii="宋体" w:hAnsi="宋体" w:cs="宋体"/>
                <w:color w:val="000000"/>
                <w:kern w:val="0"/>
                <w:sz w:val="24"/>
              </w:rPr>
            </w:pPr>
          </w:p>
        </w:tc>
        <w:tc>
          <w:tcPr>
            <w:tcW w:w="2410" w:type="dxa"/>
            <w:shd w:val="clear" w:color="000000" w:fill="FFFFFF"/>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更换次数</w:t>
            </w:r>
          </w:p>
        </w:tc>
        <w:tc>
          <w:tcPr>
            <w:tcW w:w="1985"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≥4次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555" w:type="dxa"/>
            <w:vMerge w:val="restart"/>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效益指标</w:t>
            </w:r>
          </w:p>
        </w:tc>
        <w:tc>
          <w:tcPr>
            <w:tcW w:w="2409"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生态效益目标</w:t>
            </w:r>
          </w:p>
        </w:tc>
        <w:tc>
          <w:tcPr>
            <w:tcW w:w="2410"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绿化景观面貌优良率</w:t>
            </w:r>
          </w:p>
        </w:tc>
        <w:tc>
          <w:tcPr>
            <w:tcW w:w="1985"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555" w:type="dxa"/>
            <w:vMerge w:val="continue"/>
            <w:vAlign w:val="center"/>
          </w:tcPr>
          <w:p>
            <w:pPr>
              <w:widowControl/>
              <w:spacing w:line="560" w:lineRule="exact"/>
              <w:jc w:val="left"/>
              <w:rPr>
                <w:rFonts w:ascii="宋体" w:hAnsi="宋体" w:cs="宋体"/>
                <w:color w:val="000000"/>
                <w:kern w:val="0"/>
                <w:sz w:val="24"/>
              </w:rPr>
            </w:pPr>
          </w:p>
        </w:tc>
        <w:tc>
          <w:tcPr>
            <w:tcW w:w="2409"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社会效益指标</w:t>
            </w:r>
          </w:p>
        </w:tc>
        <w:tc>
          <w:tcPr>
            <w:tcW w:w="2410"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时花存活率</w:t>
            </w:r>
          </w:p>
        </w:tc>
        <w:tc>
          <w:tcPr>
            <w:tcW w:w="1985"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555"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满意度指标</w:t>
            </w:r>
          </w:p>
        </w:tc>
        <w:tc>
          <w:tcPr>
            <w:tcW w:w="2409"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服务对象满意度指标</w:t>
            </w:r>
          </w:p>
        </w:tc>
        <w:tc>
          <w:tcPr>
            <w:tcW w:w="2410"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群众满意率</w:t>
            </w:r>
          </w:p>
        </w:tc>
        <w:tc>
          <w:tcPr>
            <w:tcW w:w="1985" w:type="dxa"/>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≥95%</w:t>
            </w:r>
          </w:p>
        </w:tc>
      </w:tr>
    </w:tbl>
    <w:p>
      <w:pPr>
        <w:keepNext/>
        <w:keepLines/>
        <w:spacing w:line="360" w:lineRule="auto"/>
        <w:ind w:firstLine="642" w:firstLineChars="200"/>
        <w:outlineLvl w:val="1"/>
        <w:rPr>
          <w:rFonts w:ascii="黑体" w:hAnsi="黑体" w:eastAsia="楷体"/>
          <w:b/>
          <w:bCs/>
          <w:kern w:val="44"/>
          <w:sz w:val="32"/>
          <w:szCs w:val="30"/>
        </w:rPr>
      </w:pPr>
      <w:bookmarkStart w:id="22" w:name="_Toc142062805"/>
      <w:r>
        <w:rPr>
          <w:rFonts w:hint="eastAsia" w:ascii="黑体" w:hAnsi="黑体" w:eastAsia="楷体"/>
          <w:b/>
          <w:bCs/>
          <w:kern w:val="44"/>
          <w:sz w:val="32"/>
          <w:szCs w:val="30"/>
        </w:rPr>
        <w:t>（二）预算管理评价分析</w:t>
      </w:r>
      <w:bookmarkEnd w:id="22"/>
    </w:p>
    <w:p>
      <w:pPr>
        <w:spacing w:line="360" w:lineRule="auto"/>
        <w:ind w:firstLine="640" w:firstLineChars="200"/>
        <w:rPr>
          <w:rFonts w:ascii="仿宋_GB2312" w:eastAsia="仿宋_GB2312"/>
          <w:bCs/>
          <w:sz w:val="32"/>
          <w:szCs w:val="32"/>
        </w:rPr>
      </w:pPr>
      <w:r>
        <w:rPr>
          <w:rFonts w:hint="eastAsia" w:ascii="仿宋_GB2312" w:eastAsia="仿宋_GB2312"/>
          <w:bCs/>
          <w:sz w:val="32"/>
          <w:szCs w:val="32"/>
        </w:rPr>
        <w:t>1.预算编制情况分析</w:t>
      </w:r>
    </w:p>
    <w:p>
      <w:pPr>
        <w:spacing w:line="360" w:lineRule="auto"/>
        <w:ind w:firstLine="640" w:firstLineChars="200"/>
        <w:rPr>
          <w:rFonts w:ascii="仿宋_GB2312" w:hAnsi="微软雅黑" w:eastAsia="仿宋_GB2312" w:cs="宋体"/>
          <w:color w:val="000000"/>
          <w:kern w:val="0"/>
          <w:sz w:val="32"/>
          <w:szCs w:val="32"/>
        </w:rPr>
      </w:pPr>
      <w:r>
        <w:rPr>
          <w:rFonts w:hint="eastAsia" w:ascii="仿宋_GB2312" w:hAnsi="微软雅黑" w:eastAsia="仿宋_GB2312" w:cs="宋体"/>
          <w:color w:val="000000"/>
          <w:kern w:val="0"/>
          <w:sz w:val="32"/>
          <w:szCs w:val="32"/>
        </w:rPr>
        <w:t>市园林环卫中心在</w:t>
      </w:r>
      <w:r>
        <w:rPr>
          <w:rFonts w:ascii="仿宋_GB2312" w:hAnsi="微软雅黑" w:eastAsia="仿宋_GB2312" w:cs="宋体"/>
          <w:color w:val="000000"/>
          <w:kern w:val="0"/>
          <w:sz w:val="32"/>
          <w:szCs w:val="32"/>
        </w:rPr>
        <w:t>进行</w:t>
      </w:r>
      <w:r>
        <w:rPr>
          <w:rFonts w:hint="eastAsia" w:ascii="仿宋_GB2312" w:hAnsi="微软雅黑" w:eastAsia="仿宋_GB2312" w:cs="宋体"/>
          <w:color w:val="000000"/>
          <w:kern w:val="0"/>
          <w:sz w:val="32"/>
          <w:szCs w:val="32"/>
        </w:rPr>
        <w:t>专项资金</w:t>
      </w:r>
      <w:r>
        <w:rPr>
          <w:rFonts w:ascii="仿宋_GB2312" w:hAnsi="微软雅黑" w:eastAsia="仿宋_GB2312" w:cs="宋体"/>
          <w:color w:val="000000"/>
          <w:kern w:val="0"/>
          <w:sz w:val="32"/>
          <w:szCs w:val="32"/>
        </w:rPr>
        <w:t>预算</w:t>
      </w:r>
      <w:r>
        <w:rPr>
          <w:rFonts w:hint="eastAsia" w:ascii="仿宋_GB2312" w:hAnsi="微软雅黑" w:eastAsia="仿宋_GB2312" w:cs="宋体"/>
          <w:color w:val="000000"/>
          <w:kern w:val="0"/>
          <w:sz w:val="32"/>
          <w:szCs w:val="32"/>
        </w:rPr>
        <w:t>申报时</w:t>
      </w:r>
      <w:r>
        <w:rPr>
          <w:rFonts w:ascii="仿宋_GB2312" w:hAnsi="微软雅黑" w:eastAsia="仿宋_GB2312" w:cs="宋体"/>
          <w:color w:val="000000"/>
          <w:kern w:val="0"/>
          <w:sz w:val="32"/>
          <w:szCs w:val="32"/>
        </w:rPr>
        <w:t>，</w:t>
      </w:r>
      <w:r>
        <w:rPr>
          <w:rFonts w:hint="eastAsia" w:ascii="仿宋_GB2312" w:hAnsi="微软雅黑" w:eastAsia="仿宋_GB2312" w:cs="宋体"/>
          <w:color w:val="000000"/>
          <w:kern w:val="0"/>
          <w:sz w:val="32"/>
          <w:szCs w:val="32"/>
        </w:rPr>
        <w:t>根据第三方编制的招标控制价，对采购单价和采购总价进行控制，预算编制科学合理。</w:t>
      </w:r>
    </w:p>
    <w:p>
      <w:pPr>
        <w:spacing w:line="360" w:lineRule="auto"/>
        <w:ind w:firstLine="640" w:firstLineChars="200"/>
        <w:rPr>
          <w:rFonts w:ascii="仿宋_GB2312" w:eastAsia="仿宋"/>
          <w:b/>
          <w:sz w:val="32"/>
          <w:szCs w:val="32"/>
        </w:rPr>
      </w:pPr>
      <w:r>
        <w:rPr>
          <w:rFonts w:hint="eastAsia" w:ascii="仿宋_GB2312" w:eastAsia="仿宋_GB2312"/>
          <w:bCs/>
          <w:sz w:val="32"/>
          <w:szCs w:val="32"/>
        </w:rPr>
        <w:t>2.预算执行情况分析</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市园林环卫中心</w:t>
      </w:r>
      <w:r>
        <w:rPr>
          <w:rFonts w:ascii="仿宋_GB2312" w:eastAsia="仿宋_GB2312"/>
          <w:sz w:val="32"/>
          <w:szCs w:val="32"/>
        </w:rPr>
        <w:t>对时花采购项目</w:t>
      </w:r>
      <w:r>
        <w:rPr>
          <w:rFonts w:hint="eastAsia" w:ascii="仿宋_GB2312" w:eastAsia="仿宋_GB2312"/>
          <w:sz w:val="32"/>
          <w:szCs w:val="32"/>
        </w:rPr>
        <w:t>的预算执行</w:t>
      </w:r>
      <w:r>
        <w:rPr>
          <w:rFonts w:ascii="仿宋_GB2312" w:eastAsia="仿宋_GB2312"/>
          <w:sz w:val="32"/>
          <w:szCs w:val="32"/>
        </w:rPr>
        <w:t>进行严格、审慎的把控</w:t>
      </w:r>
      <w:r>
        <w:rPr>
          <w:rFonts w:hint="eastAsia" w:ascii="仿宋_GB2312" w:eastAsia="仿宋_GB2312"/>
          <w:sz w:val="32"/>
          <w:szCs w:val="32"/>
        </w:rPr>
        <w:t>，共支出项目资金7</w:t>
      </w:r>
      <w:r>
        <w:rPr>
          <w:rFonts w:ascii="仿宋_GB2312" w:eastAsia="仿宋_GB2312"/>
          <w:sz w:val="32"/>
          <w:szCs w:val="32"/>
        </w:rPr>
        <w:t>2.11</w:t>
      </w:r>
      <w:r>
        <w:rPr>
          <w:rFonts w:hint="eastAsia" w:ascii="仿宋_GB2312" w:eastAsia="仿宋_GB2312"/>
          <w:sz w:val="32"/>
          <w:szCs w:val="32"/>
        </w:rPr>
        <w:t>万元。详见表4-</w:t>
      </w:r>
      <w:r>
        <w:rPr>
          <w:rFonts w:ascii="仿宋_GB2312" w:eastAsia="仿宋_GB2312"/>
          <w:sz w:val="32"/>
          <w:szCs w:val="32"/>
        </w:rPr>
        <w:t>2</w:t>
      </w:r>
      <w:r>
        <w:rPr>
          <w:rFonts w:hint="eastAsia" w:ascii="仿宋_GB2312" w:eastAsia="仿宋_GB2312"/>
          <w:sz w:val="32"/>
          <w:szCs w:val="32"/>
        </w:rPr>
        <w:t>：</w:t>
      </w:r>
    </w:p>
    <w:p>
      <w:pPr>
        <w:widowControl/>
        <w:shd w:val="clear" w:color="auto" w:fill="FFFFFF"/>
        <w:spacing w:line="360" w:lineRule="auto"/>
        <w:ind w:firstLine="200"/>
        <w:jc w:val="center"/>
        <w:rPr>
          <w:rFonts w:ascii="仿宋_GB2312" w:hAnsi="微软雅黑" w:eastAsia="仿宋_GB2312" w:cs="宋体"/>
          <w:color w:val="000000"/>
          <w:kern w:val="0"/>
          <w:sz w:val="32"/>
          <w:szCs w:val="32"/>
        </w:rPr>
      </w:pPr>
      <w:r>
        <w:rPr>
          <w:rFonts w:hint="eastAsia" w:ascii="仿宋_GB2312" w:hAnsi="微软雅黑" w:eastAsia="仿宋_GB2312" w:cs="宋体"/>
          <w:color w:val="000000"/>
          <w:kern w:val="0"/>
          <w:sz w:val="32"/>
          <w:szCs w:val="32"/>
        </w:rPr>
        <w:t>表</w:t>
      </w:r>
      <w:r>
        <w:rPr>
          <w:rFonts w:ascii="仿宋_GB2312" w:hAnsi="微软雅黑" w:eastAsia="仿宋_GB2312" w:cs="宋体"/>
          <w:color w:val="000000"/>
          <w:kern w:val="0"/>
          <w:sz w:val="32"/>
          <w:szCs w:val="32"/>
        </w:rPr>
        <w:t>4</w:t>
      </w:r>
      <w:r>
        <w:rPr>
          <w:rFonts w:hint="eastAsia" w:ascii="仿宋_GB2312" w:hAnsi="微软雅黑" w:eastAsia="仿宋_GB2312" w:cs="宋体"/>
          <w:color w:val="000000"/>
          <w:kern w:val="0"/>
          <w:sz w:val="32"/>
          <w:szCs w:val="32"/>
        </w:rPr>
        <w:t>-</w:t>
      </w:r>
      <w:r>
        <w:rPr>
          <w:rFonts w:ascii="仿宋_GB2312" w:hAnsi="微软雅黑" w:eastAsia="仿宋_GB2312" w:cs="宋体"/>
          <w:color w:val="000000"/>
          <w:kern w:val="0"/>
          <w:sz w:val="32"/>
          <w:szCs w:val="32"/>
        </w:rPr>
        <w:t>2 2022</w:t>
      </w:r>
      <w:r>
        <w:rPr>
          <w:rFonts w:hint="eastAsia" w:ascii="仿宋_GB2312" w:hAnsi="微软雅黑" w:eastAsia="仿宋_GB2312" w:cs="宋体"/>
          <w:color w:val="000000"/>
          <w:kern w:val="0"/>
          <w:sz w:val="32"/>
          <w:szCs w:val="32"/>
        </w:rPr>
        <w:t>年度时花采购项目预算资金支出明细表</w:t>
      </w:r>
    </w:p>
    <w:tbl>
      <w:tblPr>
        <w:tblStyle w:val="12"/>
        <w:tblW w:w="9255" w:type="dxa"/>
        <w:jc w:val="center"/>
        <w:tblLayout w:type="autofit"/>
        <w:tblCellMar>
          <w:top w:w="0" w:type="dxa"/>
          <w:left w:w="108" w:type="dxa"/>
          <w:bottom w:w="0" w:type="dxa"/>
          <w:right w:w="108" w:type="dxa"/>
        </w:tblCellMar>
      </w:tblPr>
      <w:tblGrid>
        <w:gridCol w:w="1423"/>
        <w:gridCol w:w="1423"/>
        <w:gridCol w:w="1511"/>
        <w:gridCol w:w="1296"/>
        <w:gridCol w:w="1220"/>
        <w:gridCol w:w="1220"/>
        <w:gridCol w:w="1162"/>
      </w:tblGrid>
      <w:tr>
        <w:tblPrEx>
          <w:tblCellMar>
            <w:top w:w="0" w:type="dxa"/>
            <w:left w:w="108" w:type="dxa"/>
            <w:bottom w:w="0" w:type="dxa"/>
            <w:right w:w="108" w:type="dxa"/>
          </w:tblCellMar>
        </w:tblPrEx>
        <w:trPr>
          <w:trHeight w:val="567" w:hRule="atLeast"/>
          <w:tblHeader/>
          <w:jc w:val="center"/>
        </w:trPr>
        <w:tc>
          <w:tcPr>
            <w:tcW w:w="1423"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项目</w:t>
            </w:r>
          </w:p>
        </w:tc>
        <w:tc>
          <w:tcPr>
            <w:tcW w:w="4230" w:type="dxa"/>
            <w:gridSpan w:val="3"/>
            <w:tcBorders>
              <w:top w:val="single" w:color="auto" w:sz="4" w:space="0"/>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预算情况</w:t>
            </w:r>
          </w:p>
        </w:tc>
        <w:tc>
          <w:tcPr>
            <w:tcW w:w="3602" w:type="dxa"/>
            <w:gridSpan w:val="3"/>
            <w:tcBorders>
              <w:top w:val="single" w:color="auto" w:sz="4" w:space="0"/>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预算资金支出情况</w:t>
            </w:r>
          </w:p>
        </w:tc>
      </w:tr>
      <w:tr>
        <w:tblPrEx>
          <w:tblCellMar>
            <w:top w:w="0" w:type="dxa"/>
            <w:left w:w="108" w:type="dxa"/>
            <w:bottom w:w="0" w:type="dxa"/>
            <w:right w:w="108" w:type="dxa"/>
          </w:tblCellMar>
        </w:tblPrEx>
        <w:trPr>
          <w:trHeight w:val="567" w:hRule="atLeast"/>
          <w:tblHeader/>
          <w:jc w:val="center"/>
        </w:trPr>
        <w:tc>
          <w:tcPr>
            <w:tcW w:w="1423"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560" w:lineRule="exact"/>
              <w:jc w:val="left"/>
              <w:rPr>
                <w:rFonts w:ascii="宋体" w:hAnsi="宋体" w:cs="宋体"/>
                <w:color w:val="000000"/>
                <w:kern w:val="0"/>
                <w:sz w:val="24"/>
              </w:rPr>
            </w:pPr>
          </w:p>
        </w:tc>
        <w:tc>
          <w:tcPr>
            <w:tcW w:w="1423" w:type="dxa"/>
            <w:tcBorders>
              <w:top w:val="nil"/>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预算单价（元/株）</w:t>
            </w:r>
          </w:p>
        </w:tc>
        <w:tc>
          <w:tcPr>
            <w:tcW w:w="1511" w:type="dxa"/>
            <w:tcBorders>
              <w:top w:val="nil"/>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预算数量</w:t>
            </w:r>
            <w:r>
              <w:rPr>
                <w:rFonts w:hint="eastAsia" w:ascii="宋体" w:hAnsi="宋体" w:cs="宋体"/>
                <w:color w:val="000000"/>
                <w:kern w:val="0"/>
                <w:sz w:val="24"/>
              </w:rPr>
              <w:br w:type="textWrapping"/>
            </w:r>
            <w:r>
              <w:rPr>
                <w:rFonts w:hint="eastAsia" w:ascii="宋体" w:hAnsi="宋体" w:cs="宋体"/>
                <w:color w:val="000000"/>
                <w:kern w:val="0"/>
                <w:sz w:val="24"/>
              </w:rPr>
              <w:t>（平方米）</w:t>
            </w:r>
          </w:p>
        </w:tc>
        <w:tc>
          <w:tcPr>
            <w:tcW w:w="1296" w:type="dxa"/>
            <w:tcBorders>
              <w:top w:val="nil"/>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预算金额</w:t>
            </w:r>
            <w:r>
              <w:rPr>
                <w:rFonts w:hint="eastAsia" w:ascii="宋体" w:hAnsi="宋体" w:cs="宋体"/>
                <w:color w:val="000000"/>
                <w:kern w:val="0"/>
                <w:sz w:val="24"/>
              </w:rPr>
              <w:br w:type="textWrapping"/>
            </w:r>
            <w:r>
              <w:rPr>
                <w:rFonts w:hint="eastAsia" w:ascii="宋体" w:hAnsi="宋体" w:cs="宋体"/>
                <w:color w:val="000000"/>
                <w:kern w:val="0"/>
                <w:sz w:val="24"/>
              </w:rPr>
              <w:t>（元）</w:t>
            </w:r>
          </w:p>
        </w:tc>
        <w:tc>
          <w:tcPr>
            <w:tcW w:w="1220" w:type="dxa"/>
            <w:tcBorders>
              <w:top w:val="nil"/>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采购单价</w:t>
            </w:r>
            <w:r>
              <w:rPr>
                <w:rFonts w:hint="eastAsia" w:ascii="宋体" w:hAnsi="宋体" w:cs="宋体"/>
                <w:color w:val="000000"/>
                <w:kern w:val="0"/>
                <w:sz w:val="24"/>
              </w:rPr>
              <w:br w:type="textWrapping"/>
            </w:r>
            <w:r>
              <w:rPr>
                <w:rFonts w:hint="eastAsia" w:ascii="宋体" w:hAnsi="宋体" w:cs="宋体"/>
                <w:color w:val="000000"/>
                <w:kern w:val="0"/>
                <w:sz w:val="24"/>
              </w:rPr>
              <w:t>（元）</w:t>
            </w:r>
          </w:p>
        </w:tc>
        <w:tc>
          <w:tcPr>
            <w:tcW w:w="1220" w:type="dxa"/>
            <w:tcBorders>
              <w:top w:val="nil"/>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采购数量</w:t>
            </w:r>
            <w:r>
              <w:rPr>
                <w:rFonts w:hint="eastAsia" w:ascii="宋体" w:hAnsi="宋体" w:cs="宋体"/>
                <w:color w:val="000000"/>
                <w:kern w:val="0"/>
                <w:sz w:val="24"/>
              </w:rPr>
              <w:br w:type="textWrapping"/>
            </w:r>
            <w:r>
              <w:rPr>
                <w:rFonts w:hint="eastAsia" w:ascii="宋体" w:hAnsi="宋体" w:cs="宋体"/>
                <w:color w:val="000000"/>
                <w:kern w:val="0"/>
                <w:sz w:val="24"/>
              </w:rPr>
              <w:t>（株）</w:t>
            </w:r>
          </w:p>
        </w:tc>
        <w:tc>
          <w:tcPr>
            <w:tcW w:w="1162" w:type="dxa"/>
            <w:tcBorders>
              <w:top w:val="nil"/>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金额</w:t>
            </w:r>
            <w:r>
              <w:rPr>
                <w:rFonts w:hint="eastAsia" w:ascii="宋体" w:hAnsi="宋体" w:cs="宋体"/>
                <w:color w:val="000000"/>
                <w:kern w:val="0"/>
                <w:sz w:val="24"/>
              </w:rPr>
              <w:br w:type="textWrapping"/>
            </w:r>
            <w:r>
              <w:rPr>
                <w:rFonts w:hint="eastAsia" w:ascii="宋体" w:hAnsi="宋体" w:cs="宋体"/>
                <w:color w:val="000000"/>
                <w:kern w:val="0"/>
                <w:sz w:val="24"/>
              </w:rPr>
              <w:t>（元）</w:t>
            </w:r>
          </w:p>
        </w:tc>
      </w:tr>
      <w:tr>
        <w:tblPrEx>
          <w:tblCellMar>
            <w:top w:w="0" w:type="dxa"/>
            <w:left w:w="108" w:type="dxa"/>
            <w:bottom w:w="0" w:type="dxa"/>
            <w:right w:w="108" w:type="dxa"/>
          </w:tblCellMar>
        </w:tblPrEx>
        <w:trPr>
          <w:trHeight w:val="567" w:hRule="atLeast"/>
          <w:jc w:val="center"/>
        </w:trPr>
        <w:tc>
          <w:tcPr>
            <w:tcW w:w="1423"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采购情况</w:t>
            </w:r>
          </w:p>
        </w:tc>
        <w:tc>
          <w:tcPr>
            <w:tcW w:w="1423"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1.2</w:t>
            </w:r>
          </w:p>
        </w:tc>
        <w:tc>
          <w:tcPr>
            <w:tcW w:w="1511"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20000</w:t>
            </w:r>
          </w:p>
        </w:tc>
        <w:tc>
          <w:tcPr>
            <w:tcW w:w="1296"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 xml:space="preserve">6,900,000 </w:t>
            </w:r>
          </w:p>
        </w:tc>
        <w:tc>
          <w:tcPr>
            <w:tcW w:w="1220"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0.85</w:t>
            </w:r>
          </w:p>
        </w:tc>
        <w:tc>
          <w:tcPr>
            <w:tcW w:w="1220"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826328</w:t>
            </w:r>
          </w:p>
        </w:tc>
        <w:tc>
          <w:tcPr>
            <w:tcW w:w="1162"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 xml:space="preserve">702,378 </w:t>
            </w:r>
          </w:p>
        </w:tc>
      </w:tr>
      <w:tr>
        <w:tblPrEx>
          <w:tblCellMar>
            <w:top w:w="0" w:type="dxa"/>
            <w:left w:w="108" w:type="dxa"/>
            <w:bottom w:w="0" w:type="dxa"/>
            <w:right w:w="108" w:type="dxa"/>
          </w:tblCellMar>
        </w:tblPrEx>
        <w:trPr>
          <w:trHeight w:val="567" w:hRule="atLeast"/>
          <w:jc w:val="center"/>
        </w:trPr>
        <w:tc>
          <w:tcPr>
            <w:tcW w:w="1423"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造价咨询费</w:t>
            </w:r>
          </w:p>
        </w:tc>
        <w:tc>
          <w:tcPr>
            <w:tcW w:w="1423"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w:t>
            </w:r>
          </w:p>
        </w:tc>
        <w:tc>
          <w:tcPr>
            <w:tcW w:w="1511"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w:t>
            </w:r>
          </w:p>
        </w:tc>
        <w:tc>
          <w:tcPr>
            <w:tcW w:w="1296"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w:t>
            </w:r>
          </w:p>
        </w:tc>
        <w:tc>
          <w:tcPr>
            <w:tcW w:w="1220"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w:t>
            </w:r>
          </w:p>
        </w:tc>
        <w:tc>
          <w:tcPr>
            <w:tcW w:w="1220"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w:t>
            </w:r>
          </w:p>
        </w:tc>
        <w:tc>
          <w:tcPr>
            <w:tcW w:w="1162"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 xml:space="preserve">18,686 </w:t>
            </w:r>
          </w:p>
        </w:tc>
      </w:tr>
      <w:tr>
        <w:tblPrEx>
          <w:tblCellMar>
            <w:top w:w="0" w:type="dxa"/>
            <w:left w:w="108" w:type="dxa"/>
            <w:bottom w:w="0" w:type="dxa"/>
            <w:right w:w="108" w:type="dxa"/>
          </w:tblCellMar>
        </w:tblPrEx>
        <w:trPr>
          <w:trHeight w:val="567" w:hRule="atLeast"/>
          <w:jc w:val="center"/>
        </w:trPr>
        <w:tc>
          <w:tcPr>
            <w:tcW w:w="1423"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小计</w:t>
            </w:r>
          </w:p>
        </w:tc>
        <w:tc>
          <w:tcPr>
            <w:tcW w:w="1423"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w:t>
            </w:r>
          </w:p>
        </w:tc>
        <w:tc>
          <w:tcPr>
            <w:tcW w:w="1511"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ascii="宋体" w:hAnsi="宋体" w:cs="宋体"/>
                <w:color w:val="000000"/>
                <w:kern w:val="0"/>
                <w:sz w:val="24"/>
              </w:rPr>
              <w:t>20000</w:t>
            </w:r>
          </w:p>
        </w:tc>
        <w:tc>
          <w:tcPr>
            <w:tcW w:w="1296"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 xml:space="preserve">6,900,000 </w:t>
            </w:r>
          </w:p>
        </w:tc>
        <w:tc>
          <w:tcPr>
            <w:tcW w:w="1220"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w:t>
            </w:r>
          </w:p>
        </w:tc>
        <w:tc>
          <w:tcPr>
            <w:tcW w:w="1220"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ascii="宋体" w:hAnsi="宋体" w:cs="宋体"/>
                <w:color w:val="000000"/>
                <w:kern w:val="0"/>
                <w:sz w:val="24"/>
              </w:rPr>
              <w:t>826328</w:t>
            </w:r>
          </w:p>
        </w:tc>
        <w:tc>
          <w:tcPr>
            <w:tcW w:w="1162" w:type="dxa"/>
            <w:tcBorders>
              <w:top w:val="nil"/>
              <w:left w:val="nil"/>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 xml:space="preserve">721,064 </w:t>
            </w:r>
          </w:p>
        </w:tc>
      </w:tr>
    </w:tbl>
    <w:p>
      <w:pPr>
        <w:spacing w:line="360" w:lineRule="auto"/>
        <w:ind w:firstLine="640" w:firstLineChars="200"/>
        <w:rPr>
          <w:rFonts w:ascii="仿宋_GB2312" w:eastAsia="仿宋_GB2312"/>
          <w:bCs/>
          <w:sz w:val="32"/>
          <w:szCs w:val="32"/>
        </w:rPr>
      </w:pPr>
      <w:r>
        <w:rPr>
          <w:rFonts w:hint="eastAsia" w:ascii="仿宋_GB2312" w:eastAsia="仿宋_GB2312"/>
          <w:bCs/>
          <w:sz w:val="32"/>
          <w:szCs w:val="32"/>
        </w:rPr>
        <w:t>预算种植密度为6</w:t>
      </w:r>
      <w:r>
        <w:rPr>
          <w:rFonts w:ascii="仿宋_GB2312" w:eastAsia="仿宋_GB2312"/>
          <w:bCs/>
          <w:sz w:val="32"/>
          <w:szCs w:val="32"/>
        </w:rPr>
        <w:t>4</w:t>
      </w:r>
      <w:r>
        <w:rPr>
          <w:rFonts w:hint="eastAsia" w:ascii="仿宋_GB2312" w:eastAsia="仿宋_GB2312"/>
          <w:bCs/>
          <w:sz w:val="32"/>
          <w:szCs w:val="32"/>
        </w:rPr>
        <w:t>株/平方米。</w:t>
      </w:r>
    </w:p>
    <w:p>
      <w:pPr>
        <w:spacing w:line="360" w:lineRule="auto"/>
        <w:ind w:firstLine="640" w:firstLineChars="200"/>
        <w:rPr>
          <w:rFonts w:ascii="仿宋_GB2312" w:eastAsia="仿宋"/>
          <w:b/>
          <w:sz w:val="32"/>
          <w:szCs w:val="32"/>
        </w:rPr>
      </w:pPr>
      <w:r>
        <w:rPr>
          <w:rFonts w:hint="eastAsia" w:ascii="仿宋_GB2312" w:eastAsia="仿宋_GB2312"/>
          <w:bCs/>
          <w:sz w:val="32"/>
          <w:szCs w:val="32"/>
        </w:rPr>
        <w:t>3.预算管理情况分析</w:t>
      </w:r>
    </w:p>
    <w:p>
      <w:pPr>
        <w:adjustRightInd w:val="0"/>
        <w:spacing w:line="360" w:lineRule="auto"/>
        <w:ind w:firstLine="640" w:firstLineChars="200"/>
        <w:rPr>
          <w:rFonts w:ascii="仿宋_GB2312" w:eastAsia="仿宋_GB2312"/>
          <w:sz w:val="32"/>
          <w:szCs w:val="32"/>
        </w:rPr>
      </w:pPr>
      <w:r>
        <w:rPr>
          <w:rFonts w:hint="eastAsia" w:ascii="仿宋_GB2312" w:eastAsia="仿宋_GB2312"/>
          <w:sz w:val="32"/>
          <w:szCs w:val="32"/>
        </w:rPr>
        <w:t>在项目</w:t>
      </w:r>
      <w:r>
        <w:rPr>
          <w:rFonts w:ascii="仿宋_GB2312" w:eastAsia="仿宋_GB2312"/>
          <w:sz w:val="32"/>
          <w:szCs w:val="32"/>
        </w:rPr>
        <w:t>实施之前，</w:t>
      </w:r>
      <w:r>
        <w:rPr>
          <w:rFonts w:hint="eastAsia" w:ascii="仿宋_GB2312" w:eastAsia="仿宋_GB2312"/>
          <w:sz w:val="32"/>
          <w:szCs w:val="32"/>
        </w:rPr>
        <w:t>市园林环卫中心委托第三方公司询价，按询到的最低价编制招标控制价，对项目进行总价控制；开展公开招标，借助招标代理公司对供应商进行仔细甄别，合理降低采购成本</w:t>
      </w:r>
      <w:r>
        <w:rPr>
          <w:rFonts w:ascii="仿宋_GB2312" w:eastAsia="仿宋_GB2312"/>
          <w:sz w:val="32"/>
          <w:szCs w:val="32"/>
        </w:rPr>
        <w:t>。</w:t>
      </w:r>
      <w:r>
        <w:rPr>
          <w:rFonts w:hint="eastAsia" w:ascii="仿宋_GB2312" w:eastAsia="仿宋_GB2312"/>
          <w:sz w:val="32"/>
          <w:szCs w:val="32"/>
        </w:rPr>
        <w:t>项目实施过程中，按照中标单价和实际采购数量结算款项，未超预算。</w:t>
      </w:r>
    </w:p>
    <w:p>
      <w:pPr>
        <w:spacing w:line="360" w:lineRule="auto"/>
        <w:ind w:firstLine="642" w:firstLineChars="200"/>
        <w:outlineLvl w:val="1"/>
        <w:rPr>
          <w:rFonts w:ascii="黑体" w:hAnsi="黑体" w:eastAsia="楷体"/>
          <w:b/>
          <w:bCs/>
          <w:kern w:val="44"/>
          <w:sz w:val="32"/>
          <w:szCs w:val="30"/>
        </w:rPr>
      </w:pPr>
      <w:bookmarkStart w:id="23" w:name="_Toc142062806"/>
      <w:r>
        <w:rPr>
          <w:rFonts w:hint="eastAsia" w:ascii="黑体" w:hAnsi="黑体" w:eastAsia="楷体"/>
          <w:b/>
          <w:bCs/>
          <w:kern w:val="44"/>
          <w:sz w:val="32"/>
          <w:szCs w:val="30"/>
        </w:rPr>
        <w:t>（三）决策</w:t>
      </w:r>
      <w:r>
        <w:rPr>
          <w:rFonts w:ascii="黑体" w:hAnsi="黑体" w:eastAsia="楷体"/>
          <w:b/>
          <w:bCs/>
          <w:kern w:val="44"/>
          <w:sz w:val="32"/>
          <w:szCs w:val="30"/>
        </w:rPr>
        <w:t>及过程</w:t>
      </w:r>
      <w:r>
        <w:rPr>
          <w:rFonts w:hint="eastAsia" w:ascii="黑体" w:hAnsi="黑体" w:eastAsia="楷体"/>
          <w:b/>
          <w:bCs/>
          <w:kern w:val="44"/>
          <w:sz w:val="32"/>
          <w:szCs w:val="30"/>
        </w:rPr>
        <w:t>评价</w:t>
      </w:r>
      <w:r>
        <w:rPr>
          <w:rFonts w:ascii="黑体" w:hAnsi="黑体" w:eastAsia="楷体"/>
          <w:b/>
          <w:bCs/>
          <w:kern w:val="44"/>
          <w:sz w:val="32"/>
          <w:szCs w:val="30"/>
        </w:rPr>
        <w:t>分析</w:t>
      </w:r>
      <w:bookmarkEnd w:id="23"/>
    </w:p>
    <w:p>
      <w:pPr>
        <w:adjustRightInd w:val="0"/>
        <w:spacing w:line="360" w:lineRule="auto"/>
        <w:ind w:firstLine="640" w:firstLineChars="200"/>
        <w:rPr>
          <w:rFonts w:ascii="仿宋_GB2312" w:eastAsia="仿宋_GB2312"/>
          <w:sz w:val="32"/>
          <w:szCs w:val="32"/>
        </w:rPr>
      </w:pPr>
      <w:r>
        <w:rPr>
          <w:rFonts w:ascii="仿宋_GB2312" w:eastAsia="仿宋_GB2312"/>
          <w:sz w:val="32"/>
          <w:szCs w:val="32"/>
        </w:rPr>
        <w:t>1.</w:t>
      </w:r>
      <w:r>
        <w:rPr>
          <w:rFonts w:hint="eastAsia" w:ascii="仿宋_GB2312" w:eastAsia="仿宋_GB2312"/>
          <w:sz w:val="32"/>
          <w:szCs w:val="32"/>
        </w:rPr>
        <w:t>A11立项依据充分性</w:t>
      </w:r>
    </w:p>
    <w:p>
      <w:pPr>
        <w:adjustRightInd w:val="0"/>
        <w:spacing w:line="360" w:lineRule="auto"/>
        <w:ind w:firstLine="640" w:firstLineChars="200"/>
        <w:rPr>
          <w:rFonts w:ascii="仿宋_GB2312" w:eastAsia="仿宋_GB2312"/>
          <w:sz w:val="32"/>
          <w:szCs w:val="32"/>
        </w:rPr>
      </w:pPr>
      <w:r>
        <w:rPr>
          <w:rFonts w:hint="eastAsia" w:ascii="仿宋_GB2312" w:eastAsia="仿宋_GB2312"/>
          <w:sz w:val="32"/>
          <w:szCs w:val="32"/>
        </w:rPr>
        <w:t>该指标</w:t>
      </w:r>
      <w:r>
        <w:rPr>
          <w:rFonts w:ascii="仿宋_GB2312" w:eastAsia="仿宋_GB2312"/>
          <w:sz w:val="32"/>
          <w:szCs w:val="32"/>
        </w:rPr>
        <w:t>分值为1.5</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市园林环卫中心</w:t>
      </w:r>
      <w:r>
        <w:rPr>
          <w:rFonts w:ascii="仿宋_GB2312" w:eastAsia="仿宋_GB2312"/>
          <w:sz w:val="32"/>
          <w:szCs w:val="32"/>
        </w:rPr>
        <w:t>严格依照</w:t>
      </w:r>
      <w:r>
        <w:rPr>
          <w:rFonts w:hint="eastAsia" w:ascii="仿宋_GB2312" w:eastAsia="仿宋_GB2312"/>
          <w:sz w:val="32"/>
          <w:szCs w:val="32"/>
        </w:rPr>
        <w:t>单位职责任务设立本项目，符合石狮市加快建设国际滨海休闲旅游城市，打造十里黄金海岸国家级旅游度假区和海丝航标文化旅游目的地的发展规划；属于公共财政支持范围，实现权、责、利统一，符合中央、地方事权支出责任划分原则；未发现与石狮市其他部门、单位项目重复。根据评价标准该指标得满分</w:t>
      </w:r>
      <w:r>
        <w:rPr>
          <w:rFonts w:ascii="仿宋_GB2312" w:eastAsia="仿宋_GB2312"/>
          <w:sz w:val="32"/>
          <w:szCs w:val="32"/>
        </w:rPr>
        <w:t>1</w:t>
      </w:r>
      <w:r>
        <w:rPr>
          <w:rFonts w:hint="eastAsia" w:ascii="仿宋_GB2312" w:eastAsia="仿宋_GB2312"/>
          <w:sz w:val="32"/>
          <w:szCs w:val="32"/>
        </w:rPr>
        <w:t>.5分。</w:t>
      </w:r>
    </w:p>
    <w:p>
      <w:pPr>
        <w:adjustRightInd w:val="0"/>
        <w:spacing w:line="360" w:lineRule="auto"/>
        <w:ind w:firstLine="648"/>
        <w:rPr>
          <w:rFonts w:ascii="仿宋_GB2312" w:eastAsia="仿宋_GB2312"/>
          <w:sz w:val="32"/>
          <w:szCs w:val="32"/>
        </w:rPr>
      </w:pPr>
      <w:r>
        <w:rPr>
          <w:rFonts w:hint="eastAsia" w:ascii="仿宋_GB2312" w:eastAsia="仿宋_GB2312"/>
          <w:sz w:val="32"/>
          <w:szCs w:val="32"/>
        </w:rPr>
        <w:t>2.</w:t>
      </w:r>
      <w:r>
        <w:rPr>
          <w:rFonts w:hint="eastAsia"/>
        </w:rPr>
        <w:t xml:space="preserve"> </w:t>
      </w:r>
      <w:r>
        <w:rPr>
          <w:rFonts w:hint="eastAsia" w:ascii="仿宋_GB2312" w:eastAsia="仿宋_GB2312"/>
          <w:sz w:val="32"/>
          <w:szCs w:val="32"/>
        </w:rPr>
        <w:t>A</w:t>
      </w:r>
      <w:r>
        <w:rPr>
          <w:rFonts w:ascii="仿宋_GB2312" w:eastAsia="仿宋_GB2312"/>
          <w:sz w:val="32"/>
          <w:szCs w:val="32"/>
        </w:rPr>
        <w:t>12</w:t>
      </w:r>
      <w:r>
        <w:rPr>
          <w:rFonts w:hint="eastAsia" w:ascii="仿宋_GB2312" w:eastAsia="仿宋_GB2312"/>
          <w:sz w:val="32"/>
          <w:szCs w:val="32"/>
        </w:rPr>
        <w:t>立项程序规范性</w:t>
      </w:r>
    </w:p>
    <w:p>
      <w:pPr>
        <w:adjustRightInd w:val="0"/>
        <w:spacing w:line="360" w:lineRule="auto"/>
        <w:ind w:firstLine="648"/>
        <w:rPr>
          <w:rFonts w:ascii="仿宋_GB2312" w:eastAsia="仿宋_GB2312"/>
          <w:sz w:val="32"/>
          <w:szCs w:val="32"/>
        </w:rPr>
      </w:pPr>
      <w:r>
        <w:rPr>
          <w:rFonts w:hint="eastAsia" w:ascii="仿宋_GB2312" w:eastAsia="仿宋_GB2312"/>
          <w:sz w:val="32"/>
          <w:szCs w:val="32"/>
        </w:rPr>
        <w:t>该指标分值为1.5分。202</w:t>
      </w:r>
      <w:r>
        <w:rPr>
          <w:rFonts w:ascii="仿宋_GB2312" w:eastAsia="仿宋_GB2312"/>
          <w:sz w:val="32"/>
          <w:szCs w:val="32"/>
        </w:rPr>
        <w:t>2</w:t>
      </w:r>
      <w:r>
        <w:rPr>
          <w:rFonts w:hint="eastAsia" w:ascii="仿宋_GB2312" w:eastAsia="仿宋_GB2312"/>
          <w:sz w:val="32"/>
          <w:szCs w:val="32"/>
        </w:rPr>
        <w:t>年度时花项目经过申报、审核、预算核定程序；审批文件、材料规范、完整；事前已经过集体决策。根据评价标准该指标得满分1.5分。</w:t>
      </w:r>
    </w:p>
    <w:p>
      <w:pPr>
        <w:adjustRightInd w:val="0"/>
        <w:spacing w:line="360" w:lineRule="auto"/>
        <w:ind w:firstLine="648"/>
        <w:rPr>
          <w:rFonts w:ascii="仿宋_GB2312" w:eastAsia="仿宋_GB2312"/>
          <w:sz w:val="32"/>
          <w:szCs w:val="32"/>
        </w:rPr>
      </w:pPr>
      <w:r>
        <w:rPr>
          <w:rFonts w:hint="eastAsia" w:ascii="仿宋_GB2312" w:eastAsia="仿宋_GB2312"/>
          <w:sz w:val="32"/>
          <w:szCs w:val="32"/>
        </w:rPr>
        <w:t>3.</w:t>
      </w:r>
      <w:r>
        <w:t xml:space="preserve"> </w:t>
      </w:r>
      <w:r>
        <w:rPr>
          <w:rFonts w:ascii="仿宋_GB2312" w:eastAsia="仿宋_GB2312"/>
          <w:sz w:val="32"/>
          <w:szCs w:val="32"/>
        </w:rPr>
        <w:t>A21</w:t>
      </w:r>
      <w:r>
        <w:rPr>
          <w:rFonts w:hint="eastAsia" w:ascii="仿宋_GB2312" w:eastAsia="仿宋_GB2312"/>
          <w:sz w:val="32"/>
          <w:szCs w:val="32"/>
        </w:rPr>
        <w:t>绩效目标合理性</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w:t>
      </w:r>
      <w:r>
        <w:rPr>
          <w:rFonts w:ascii="仿宋_GB2312" w:eastAsia="仿宋_GB2312"/>
          <w:sz w:val="32"/>
          <w:szCs w:val="32"/>
        </w:rPr>
        <w:t>分值为2</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市园林环卫中心针对项目实施</w:t>
      </w:r>
      <w:r>
        <w:rPr>
          <w:rFonts w:ascii="仿宋_GB2312" w:eastAsia="仿宋_GB2312"/>
          <w:sz w:val="32"/>
          <w:szCs w:val="32"/>
        </w:rPr>
        <w:t>的</w:t>
      </w:r>
      <w:r>
        <w:rPr>
          <w:rFonts w:hint="eastAsia" w:ascii="仿宋_GB2312" w:eastAsia="仿宋_GB2312"/>
          <w:sz w:val="32"/>
          <w:szCs w:val="32"/>
        </w:rPr>
        <w:t>目标和特点编制了专项资金绩效目标申报表</w:t>
      </w:r>
      <w:r>
        <w:rPr>
          <w:rFonts w:ascii="仿宋_GB2312" w:eastAsia="仿宋_GB2312"/>
          <w:sz w:val="32"/>
          <w:szCs w:val="32"/>
        </w:rPr>
        <w:t>，</w:t>
      </w:r>
      <w:r>
        <w:rPr>
          <w:rFonts w:hint="eastAsia" w:ascii="仿宋_GB2312" w:eastAsia="仿宋_GB2312"/>
          <w:sz w:val="32"/>
          <w:szCs w:val="32"/>
        </w:rPr>
        <w:t>绩效目标紧贴项目实际情况，预期产出效益和效果符合时花采购正常管理水平；与预算确定的资金量相匹配。根据评价标准该指标得满分</w:t>
      </w:r>
      <w:r>
        <w:rPr>
          <w:rFonts w:ascii="仿宋_GB2312" w:eastAsia="仿宋_GB2312"/>
          <w:sz w:val="32"/>
          <w:szCs w:val="32"/>
        </w:rPr>
        <w:t>2</w:t>
      </w:r>
      <w:r>
        <w:rPr>
          <w:rFonts w:hint="eastAsia" w:ascii="仿宋_GB2312" w:eastAsia="仿宋_GB2312"/>
          <w:sz w:val="32"/>
          <w:szCs w:val="32"/>
        </w:rPr>
        <w:t>分。</w:t>
      </w:r>
    </w:p>
    <w:p>
      <w:pPr>
        <w:adjustRightInd w:val="0"/>
        <w:snapToGrid w:val="0"/>
        <w:spacing w:line="360" w:lineRule="auto"/>
        <w:ind w:firstLine="648"/>
        <w:rPr>
          <w:rFonts w:ascii="仿宋_GB2312" w:eastAsia="仿宋_GB2312"/>
          <w:sz w:val="32"/>
          <w:szCs w:val="32"/>
        </w:rPr>
      </w:pPr>
      <w:r>
        <w:rPr>
          <w:rFonts w:ascii="仿宋_GB2312" w:eastAsia="仿宋_GB2312"/>
          <w:sz w:val="32"/>
          <w:szCs w:val="32"/>
        </w:rPr>
        <w:t>4</w:t>
      </w:r>
      <w:r>
        <w:rPr>
          <w:rFonts w:hint="eastAsia" w:ascii="仿宋_GB2312" w:eastAsia="仿宋_GB2312"/>
          <w:sz w:val="32"/>
          <w:szCs w:val="32"/>
        </w:rPr>
        <w:t>.</w:t>
      </w:r>
      <w:r>
        <w:rPr>
          <w:rFonts w:hint="eastAsia"/>
        </w:rPr>
        <w:t xml:space="preserve"> </w:t>
      </w:r>
      <w:r>
        <w:rPr>
          <w:rFonts w:hint="eastAsia" w:ascii="仿宋_GB2312" w:eastAsia="仿宋_GB2312"/>
          <w:sz w:val="32"/>
          <w:szCs w:val="32"/>
        </w:rPr>
        <w:t>A22绩效指标明确性</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该指标分值</w:t>
      </w:r>
      <w:r>
        <w:rPr>
          <w:rFonts w:ascii="仿宋_GB2312" w:eastAsia="仿宋_GB2312"/>
          <w:sz w:val="32"/>
          <w:szCs w:val="32"/>
        </w:rPr>
        <w:t>为2</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市园林环卫中心</w:t>
      </w:r>
      <w:r>
        <w:rPr>
          <w:rFonts w:ascii="仿宋_GB2312" w:eastAsia="仿宋_GB2312"/>
          <w:sz w:val="32"/>
          <w:szCs w:val="32"/>
        </w:rPr>
        <w:t>根据项目实际情况，从业务的核心数据出发，设置</w:t>
      </w:r>
      <w:r>
        <w:rPr>
          <w:rFonts w:hint="eastAsia" w:ascii="仿宋_GB2312" w:eastAsia="仿宋_GB2312"/>
          <w:sz w:val="32"/>
          <w:szCs w:val="32"/>
        </w:rPr>
        <w:t>时花采购面积、时花存活率等</w:t>
      </w:r>
      <w:r>
        <w:rPr>
          <w:rFonts w:ascii="仿宋_GB2312" w:eastAsia="仿宋_GB2312"/>
          <w:sz w:val="32"/>
          <w:szCs w:val="32"/>
        </w:rPr>
        <w:t>绩效</w:t>
      </w:r>
      <w:r>
        <w:rPr>
          <w:rFonts w:hint="eastAsia" w:ascii="仿宋_GB2312" w:eastAsia="仿宋_GB2312"/>
          <w:sz w:val="32"/>
          <w:szCs w:val="32"/>
        </w:rPr>
        <w:t>指</w:t>
      </w:r>
      <w:r>
        <w:rPr>
          <w:rFonts w:ascii="仿宋_GB2312" w:eastAsia="仿宋_GB2312"/>
          <w:sz w:val="32"/>
          <w:szCs w:val="32"/>
        </w:rPr>
        <w:t>标</w:t>
      </w:r>
      <w:r>
        <w:rPr>
          <w:rFonts w:hint="eastAsia" w:ascii="仿宋_GB2312" w:eastAsia="仿宋_GB2312"/>
          <w:sz w:val="32"/>
          <w:szCs w:val="32"/>
        </w:rPr>
        <w:t>，</w:t>
      </w:r>
      <w:r>
        <w:rPr>
          <w:rFonts w:ascii="仿宋_GB2312" w:eastAsia="仿宋_GB2312"/>
          <w:sz w:val="32"/>
          <w:szCs w:val="32"/>
        </w:rPr>
        <w:t>绩效</w:t>
      </w:r>
      <w:r>
        <w:rPr>
          <w:rFonts w:hint="eastAsia" w:ascii="仿宋_GB2312" w:eastAsia="仿宋_GB2312"/>
          <w:sz w:val="32"/>
          <w:szCs w:val="32"/>
        </w:rPr>
        <w:t>指</w:t>
      </w:r>
      <w:r>
        <w:rPr>
          <w:rFonts w:ascii="仿宋_GB2312" w:eastAsia="仿宋_GB2312"/>
          <w:sz w:val="32"/>
          <w:szCs w:val="32"/>
        </w:rPr>
        <w:t>标</w:t>
      </w:r>
      <w:r>
        <w:rPr>
          <w:rFonts w:hint="eastAsia" w:ascii="仿宋_GB2312" w:eastAsia="仿宋_GB2312"/>
          <w:sz w:val="32"/>
          <w:szCs w:val="32"/>
        </w:rPr>
        <w:t>全部量化</w:t>
      </w:r>
      <w:r>
        <w:rPr>
          <w:rFonts w:ascii="仿宋_GB2312" w:eastAsia="仿宋_GB2312"/>
          <w:sz w:val="32"/>
          <w:szCs w:val="32"/>
        </w:rPr>
        <w:t>，</w:t>
      </w:r>
      <w:r>
        <w:rPr>
          <w:rFonts w:hint="eastAsia" w:ascii="仿宋_GB2312" w:eastAsia="仿宋_GB2312"/>
          <w:sz w:val="32"/>
          <w:szCs w:val="32"/>
        </w:rPr>
        <w:t>能较好衡量业务的完成情况，便于后续的考核和评价。根据评价标准该指标得满分</w:t>
      </w:r>
      <w:r>
        <w:rPr>
          <w:rFonts w:ascii="仿宋_GB2312" w:eastAsia="仿宋_GB2312"/>
          <w:sz w:val="32"/>
          <w:szCs w:val="32"/>
        </w:rPr>
        <w:t>2</w:t>
      </w:r>
      <w:r>
        <w:rPr>
          <w:rFonts w:hint="eastAsia" w:ascii="仿宋_GB2312" w:eastAsia="仿宋_GB2312"/>
          <w:sz w:val="32"/>
          <w:szCs w:val="32"/>
        </w:rPr>
        <w:t>分。</w:t>
      </w:r>
    </w:p>
    <w:p>
      <w:pPr>
        <w:adjustRightInd w:val="0"/>
        <w:snapToGrid w:val="0"/>
        <w:spacing w:line="360" w:lineRule="auto"/>
        <w:ind w:firstLine="648"/>
        <w:rPr>
          <w:rFonts w:ascii="仿宋_GB2312" w:eastAsia="仿宋_GB2312"/>
          <w:sz w:val="32"/>
          <w:szCs w:val="32"/>
        </w:rPr>
      </w:pPr>
      <w:r>
        <w:rPr>
          <w:rFonts w:ascii="仿宋_GB2312" w:eastAsia="仿宋_GB2312"/>
          <w:sz w:val="32"/>
          <w:szCs w:val="32"/>
        </w:rPr>
        <w:t>5</w:t>
      </w:r>
      <w:r>
        <w:rPr>
          <w:rFonts w:hint="eastAsia" w:ascii="仿宋_GB2312" w:eastAsia="仿宋_GB2312"/>
          <w:sz w:val="32"/>
          <w:szCs w:val="32"/>
        </w:rPr>
        <w:t>.</w:t>
      </w:r>
      <w:r>
        <w:rPr>
          <w:rFonts w:hint="eastAsia"/>
        </w:rPr>
        <w:t xml:space="preserve"> </w:t>
      </w:r>
      <w:r>
        <w:rPr>
          <w:rFonts w:hint="eastAsia" w:ascii="仿宋_GB2312" w:eastAsia="仿宋_GB2312"/>
          <w:sz w:val="32"/>
          <w:szCs w:val="32"/>
        </w:rPr>
        <w:t>A31预算编制科学性</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w:t>
      </w:r>
      <w:r>
        <w:rPr>
          <w:rFonts w:ascii="仿宋_GB2312" w:eastAsia="仿宋_GB2312"/>
          <w:sz w:val="32"/>
          <w:szCs w:val="32"/>
        </w:rPr>
        <w:t>分值为2</w:t>
      </w:r>
      <w:r>
        <w:rPr>
          <w:rFonts w:hint="eastAsia" w:ascii="仿宋_GB2312" w:eastAsia="仿宋_GB2312"/>
          <w:sz w:val="32"/>
          <w:szCs w:val="32"/>
        </w:rPr>
        <w:t>分。市园林环卫中心聘请第三方机构开展询价，根据最低价编制预算。</w:t>
      </w:r>
      <w:r>
        <w:rPr>
          <w:rFonts w:ascii="仿宋_GB2312" w:eastAsia="仿宋_GB2312"/>
          <w:sz w:val="32"/>
          <w:szCs w:val="32"/>
        </w:rPr>
        <w:t>预算编制经过科学计算</w:t>
      </w:r>
      <w:r>
        <w:rPr>
          <w:rFonts w:hint="eastAsia" w:ascii="仿宋_GB2312" w:eastAsia="仿宋_GB2312"/>
          <w:sz w:val="32"/>
          <w:szCs w:val="32"/>
        </w:rPr>
        <w:t>，</w:t>
      </w:r>
      <w:r>
        <w:rPr>
          <w:rFonts w:ascii="仿宋_GB2312" w:eastAsia="仿宋_GB2312"/>
          <w:sz w:val="32"/>
          <w:szCs w:val="32"/>
        </w:rPr>
        <w:t>论证</w:t>
      </w:r>
      <w:r>
        <w:rPr>
          <w:rFonts w:hint="eastAsia" w:ascii="仿宋_GB2312" w:eastAsia="仿宋_GB2312"/>
          <w:sz w:val="32"/>
          <w:szCs w:val="32"/>
        </w:rPr>
        <w:t>符合</w:t>
      </w:r>
      <w:r>
        <w:rPr>
          <w:rFonts w:ascii="仿宋_GB2312" w:eastAsia="仿宋_GB2312"/>
          <w:sz w:val="32"/>
          <w:szCs w:val="32"/>
        </w:rPr>
        <w:t>客观实际</w:t>
      </w:r>
      <w:r>
        <w:rPr>
          <w:rFonts w:hint="eastAsia" w:ascii="仿宋_GB2312" w:eastAsia="仿宋_GB2312"/>
          <w:sz w:val="32"/>
          <w:szCs w:val="32"/>
        </w:rPr>
        <w:t>，资金额度与绩效目标相吻合。根据评价标准该指标得满分2分。</w:t>
      </w:r>
    </w:p>
    <w:p>
      <w:pPr>
        <w:adjustRightInd w:val="0"/>
        <w:snapToGrid w:val="0"/>
        <w:spacing w:line="360" w:lineRule="auto"/>
        <w:ind w:firstLine="648"/>
        <w:rPr>
          <w:rFonts w:ascii="仿宋_GB2312" w:eastAsia="仿宋_GB2312"/>
          <w:sz w:val="32"/>
          <w:szCs w:val="32"/>
        </w:rPr>
      </w:pPr>
      <w:r>
        <w:rPr>
          <w:rFonts w:ascii="仿宋_GB2312" w:eastAsia="仿宋_GB2312"/>
          <w:sz w:val="32"/>
          <w:szCs w:val="32"/>
        </w:rPr>
        <w:t>6.</w:t>
      </w:r>
      <w:r>
        <w:rPr>
          <w:rFonts w:hint="eastAsia"/>
        </w:rPr>
        <w:t xml:space="preserve"> </w:t>
      </w:r>
      <w:r>
        <w:rPr>
          <w:rFonts w:hint="eastAsia" w:ascii="仿宋_GB2312" w:eastAsia="仿宋_GB2312"/>
          <w:sz w:val="32"/>
          <w:szCs w:val="32"/>
        </w:rPr>
        <w:t>A32资金分配合理性</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该指标分值为</w:t>
      </w:r>
      <w:r>
        <w:rPr>
          <w:rFonts w:ascii="仿宋_GB2312" w:eastAsia="仿宋_GB2312"/>
          <w:sz w:val="32"/>
          <w:szCs w:val="32"/>
        </w:rPr>
        <w:t>1</w:t>
      </w:r>
      <w:r>
        <w:rPr>
          <w:rFonts w:hint="eastAsia" w:ascii="仿宋_GB2312" w:eastAsia="仿宋_GB2312"/>
          <w:sz w:val="32"/>
          <w:szCs w:val="32"/>
        </w:rPr>
        <w:t>分。市园林环卫中心参考石狮市时令花卉实际种植面积、标准种植密度、预算单价作为202</w:t>
      </w:r>
      <w:r>
        <w:rPr>
          <w:rFonts w:ascii="仿宋_GB2312" w:eastAsia="仿宋_GB2312"/>
          <w:sz w:val="32"/>
          <w:szCs w:val="32"/>
        </w:rPr>
        <w:t>2</w:t>
      </w:r>
      <w:r>
        <w:rPr>
          <w:rFonts w:hint="eastAsia" w:ascii="仿宋_GB2312" w:eastAsia="仿宋_GB2312"/>
          <w:sz w:val="32"/>
          <w:szCs w:val="32"/>
        </w:rPr>
        <w:t>年度预算资金分配的主要依据</w:t>
      </w:r>
      <w:r>
        <w:rPr>
          <w:rFonts w:ascii="仿宋_GB2312" w:eastAsia="仿宋_GB2312"/>
          <w:sz w:val="32"/>
          <w:szCs w:val="32"/>
        </w:rPr>
        <w:t>，对本项目资金进行科学分配。</w:t>
      </w:r>
      <w:r>
        <w:rPr>
          <w:rFonts w:hint="eastAsia" w:ascii="仿宋_GB2312" w:eastAsia="仿宋_GB2312"/>
          <w:sz w:val="32"/>
          <w:szCs w:val="32"/>
        </w:rPr>
        <w:t>项目预算资金分配测算有据、合理</w:t>
      </w:r>
      <w:r>
        <w:rPr>
          <w:rFonts w:ascii="仿宋_GB2312" w:eastAsia="仿宋_GB2312"/>
          <w:sz w:val="32"/>
          <w:szCs w:val="32"/>
        </w:rPr>
        <w:t>。</w:t>
      </w:r>
      <w:r>
        <w:rPr>
          <w:rFonts w:hint="eastAsia" w:ascii="仿宋_GB2312" w:eastAsia="仿宋_GB2312"/>
          <w:sz w:val="32"/>
          <w:szCs w:val="32"/>
        </w:rPr>
        <w:t>根据评价标准该指标得满分</w:t>
      </w:r>
      <w:r>
        <w:rPr>
          <w:rFonts w:ascii="仿宋_GB2312" w:eastAsia="仿宋_GB2312"/>
          <w:sz w:val="32"/>
          <w:szCs w:val="32"/>
        </w:rPr>
        <w:t>1</w:t>
      </w:r>
      <w:r>
        <w:rPr>
          <w:rFonts w:hint="eastAsia" w:ascii="仿宋_GB2312" w:eastAsia="仿宋_GB2312"/>
          <w:sz w:val="32"/>
          <w:szCs w:val="32"/>
        </w:rPr>
        <w:t>分。</w:t>
      </w:r>
    </w:p>
    <w:p>
      <w:pPr>
        <w:adjustRightInd w:val="0"/>
        <w:snapToGrid w:val="0"/>
        <w:spacing w:line="360" w:lineRule="auto"/>
        <w:ind w:firstLine="648"/>
        <w:rPr>
          <w:rFonts w:ascii="仿宋_GB2312" w:eastAsia="仿宋_GB2312"/>
          <w:sz w:val="32"/>
          <w:szCs w:val="32"/>
        </w:rPr>
      </w:pPr>
      <w:r>
        <w:rPr>
          <w:rFonts w:ascii="仿宋_GB2312" w:eastAsia="仿宋_GB2312"/>
          <w:sz w:val="32"/>
          <w:szCs w:val="32"/>
        </w:rPr>
        <w:t>7</w:t>
      </w:r>
      <w:r>
        <w:rPr>
          <w:rFonts w:hint="eastAsia" w:ascii="仿宋_GB2312" w:eastAsia="仿宋_GB2312"/>
          <w:sz w:val="32"/>
          <w:szCs w:val="32"/>
        </w:rPr>
        <w:t>.B11资金到位率</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该指标分值为</w:t>
      </w:r>
      <w:r>
        <w:rPr>
          <w:rFonts w:ascii="仿宋_GB2312" w:eastAsia="仿宋_GB2312"/>
          <w:sz w:val="32"/>
          <w:szCs w:val="32"/>
        </w:rPr>
        <w:t>4</w:t>
      </w:r>
      <w:r>
        <w:rPr>
          <w:rFonts w:hint="eastAsia" w:ascii="仿宋_GB2312" w:eastAsia="仿宋_GB2312"/>
          <w:sz w:val="32"/>
          <w:szCs w:val="32"/>
        </w:rPr>
        <w:t>分。本项目预算资金6</w:t>
      </w:r>
      <w:r>
        <w:rPr>
          <w:rFonts w:ascii="仿宋_GB2312" w:eastAsia="仿宋_GB2312"/>
          <w:sz w:val="32"/>
          <w:szCs w:val="32"/>
        </w:rPr>
        <w:t>19</w:t>
      </w:r>
      <w:r>
        <w:rPr>
          <w:rFonts w:hint="eastAsia" w:ascii="仿宋_GB2312" w:eastAsia="仿宋_GB2312"/>
          <w:sz w:val="32"/>
          <w:szCs w:val="32"/>
        </w:rPr>
        <w:t>万元</w:t>
      </w:r>
      <w:r>
        <w:rPr>
          <w:rFonts w:ascii="仿宋_GB2312" w:eastAsia="仿宋_GB2312"/>
          <w:sz w:val="32"/>
          <w:szCs w:val="32"/>
        </w:rPr>
        <w:t>，</w:t>
      </w:r>
      <w:r>
        <w:rPr>
          <w:rFonts w:hint="eastAsia" w:ascii="仿宋_GB2312" w:eastAsia="仿宋_GB2312"/>
          <w:sz w:val="32"/>
          <w:szCs w:val="32"/>
        </w:rPr>
        <w:t>实际到位资金7</w:t>
      </w:r>
      <w:r>
        <w:rPr>
          <w:rFonts w:ascii="仿宋_GB2312" w:eastAsia="仿宋_GB2312"/>
          <w:sz w:val="32"/>
          <w:szCs w:val="32"/>
        </w:rPr>
        <w:t>2.11</w:t>
      </w:r>
      <w:r>
        <w:rPr>
          <w:rFonts w:hint="eastAsia" w:ascii="仿宋_GB2312" w:eastAsia="仿宋_GB2312"/>
          <w:sz w:val="32"/>
          <w:szCs w:val="32"/>
        </w:rPr>
        <w:t>万元，资金到位率1</w:t>
      </w:r>
      <w:r>
        <w:rPr>
          <w:rFonts w:ascii="仿宋_GB2312" w:eastAsia="仿宋_GB2312"/>
          <w:sz w:val="32"/>
          <w:szCs w:val="32"/>
        </w:rPr>
        <w:t>1.65</w:t>
      </w:r>
      <w:r>
        <w:rPr>
          <w:rFonts w:hint="eastAsia" w:ascii="仿宋_GB2312" w:eastAsia="仿宋_GB2312"/>
          <w:sz w:val="32"/>
          <w:szCs w:val="32"/>
        </w:rPr>
        <w:t>%。根据评价标准该指标不得分。</w:t>
      </w:r>
    </w:p>
    <w:p>
      <w:pPr>
        <w:adjustRightInd w:val="0"/>
        <w:snapToGrid w:val="0"/>
        <w:spacing w:line="360" w:lineRule="auto"/>
        <w:ind w:firstLine="648"/>
        <w:rPr>
          <w:rFonts w:ascii="仿宋_GB2312" w:eastAsia="仿宋_GB2312"/>
          <w:sz w:val="32"/>
          <w:szCs w:val="32"/>
        </w:rPr>
      </w:pPr>
      <w:r>
        <w:rPr>
          <w:rFonts w:ascii="仿宋_GB2312" w:eastAsia="仿宋_GB2312"/>
          <w:sz w:val="32"/>
          <w:szCs w:val="32"/>
        </w:rPr>
        <w:t>8</w:t>
      </w:r>
      <w:r>
        <w:rPr>
          <w:rFonts w:hint="eastAsia" w:ascii="仿宋_GB2312" w:eastAsia="仿宋_GB2312"/>
          <w:sz w:val="32"/>
          <w:szCs w:val="32"/>
        </w:rPr>
        <w:t>.B12预算执行率</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该指标分值</w:t>
      </w:r>
      <w:r>
        <w:rPr>
          <w:rFonts w:ascii="仿宋_GB2312" w:eastAsia="仿宋_GB2312"/>
          <w:sz w:val="32"/>
          <w:szCs w:val="32"/>
        </w:rPr>
        <w:t>为3</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本项目实际到位资金7</w:t>
      </w:r>
      <w:r>
        <w:rPr>
          <w:rFonts w:ascii="仿宋_GB2312" w:eastAsia="仿宋_GB2312"/>
          <w:sz w:val="32"/>
          <w:szCs w:val="32"/>
        </w:rPr>
        <w:t>2.11</w:t>
      </w:r>
      <w:r>
        <w:rPr>
          <w:rFonts w:hint="eastAsia" w:ascii="仿宋_GB2312" w:eastAsia="仿宋_GB2312"/>
          <w:sz w:val="32"/>
          <w:szCs w:val="32"/>
        </w:rPr>
        <w:t>万元，支出资金7</w:t>
      </w:r>
      <w:r>
        <w:rPr>
          <w:rFonts w:ascii="仿宋_GB2312" w:eastAsia="仿宋_GB2312"/>
          <w:sz w:val="32"/>
          <w:szCs w:val="32"/>
        </w:rPr>
        <w:t>2.11</w:t>
      </w:r>
      <w:r>
        <w:rPr>
          <w:rFonts w:hint="eastAsia" w:ascii="仿宋_GB2312" w:eastAsia="仿宋_GB2312"/>
          <w:sz w:val="32"/>
          <w:szCs w:val="32"/>
        </w:rPr>
        <w:t>万元，预算执行率为1</w:t>
      </w:r>
      <w:r>
        <w:rPr>
          <w:rFonts w:ascii="仿宋_GB2312" w:eastAsia="仿宋_GB2312"/>
          <w:sz w:val="32"/>
          <w:szCs w:val="32"/>
        </w:rPr>
        <w:t>00%</w:t>
      </w:r>
      <w:r>
        <w:rPr>
          <w:rFonts w:hint="eastAsia" w:ascii="仿宋_GB2312" w:eastAsia="仿宋_GB2312"/>
          <w:sz w:val="32"/>
          <w:szCs w:val="32"/>
        </w:rPr>
        <w:t>。根据评价标准该指标得满分</w:t>
      </w:r>
      <w:r>
        <w:rPr>
          <w:rFonts w:ascii="仿宋_GB2312" w:eastAsia="仿宋_GB2312"/>
          <w:sz w:val="32"/>
          <w:szCs w:val="32"/>
        </w:rPr>
        <w:t>3</w:t>
      </w:r>
      <w:r>
        <w:rPr>
          <w:rFonts w:hint="eastAsia" w:ascii="仿宋_GB2312" w:eastAsia="仿宋_GB2312"/>
          <w:sz w:val="32"/>
          <w:szCs w:val="32"/>
        </w:rPr>
        <w:t>分。</w:t>
      </w:r>
    </w:p>
    <w:p>
      <w:pPr>
        <w:adjustRightInd w:val="0"/>
        <w:snapToGrid w:val="0"/>
        <w:spacing w:line="360" w:lineRule="auto"/>
        <w:ind w:firstLine="648"/>
        <w:rPr>
          <w:rFonts w:ascii="仿宋_GB2312" w:eastAsia="仿宋_GB2312"/>
          <w:sz w:val="32"/>
          <w:szCs w:val="32"/>
        </w:rPr>
      </w:pPr>
      <w:r>
        <w:rPr>
          <w:rFonts w:ascii="仿宋_GB2312" w:eastAsia="仿宋_GB2312"/>
          <w:sz w:val="32"/>
          <w:szCs w:val="32"/>
        </w:rPr>
        <w:t>9</w:t>
      </w:r>
      <w:r>
        <w:rPr>
          <w:rFonts w:hint="eastAsia" w:ascii="仿宋_GB2312" w:eastAsia="仿宋_GB2312"/>
          <w:sz w:val="32"/>
          <w:szCs w:val="32"/>
        </w:rPr>
        <w:t>.B13资金使用合规性</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该指标</w:t>
      </w:r>
      <w:r>
        <w:rPr>
          <w:rFonts w:ascii="仿宋_GB2312" w:eastAsia="仿宋_GB2312"/>
          <w:sz w:val="32"/>
          <w:szCs w:val="32"/>
        </w:rPr>
        <w:t>分值为2</w:t>
      </w:r>
      <w:r>
        <w:rPr>
          <w:rFonts w:hint="eastAsia" w:ascii="仿宋_GB2312" w:eastAsia="仿宋_GB2312"/>
          <w:sz w:val="32"/>
          <w:szCs w:val="32"/>
        </w:rPr>
        <w:t>分</w:t>
      </w:r>
      <w:r>
        <w:rPr>
          <w:rFonts w:ascii="仿宋_GB2312" w:eastAsia="仿宋_GB2312"/>
          <w:sz w:val="32"/>
          <w:szCs w:val="32"/>
        </w:rPr>
        <w:t>。</w:t>
      </w:r>
      <w:r>
        <w:rPr>
          <w:rFonts w:hint="eastAsia" w:ascii="仿宋_GB2312" w:eastAsia="仿宋_GB2312"/>
          <w:sz w:val="32"/>
          <w:szCs w:val="32"/>
        </w:rPr>
        <w:t>市园林环卫中心对20</w:t>
      </w:r>
      <w:r>
        <w:rPr>
          <w:rFonts w:ascii="仿宋_GB2312" w:eastAsia="仿宋_GB2312"/>
          <w:sz w:val="32"/>
          <w:szCs w:val="32"/>
        </w:rPr>
        <w:t>22</w:t>
      </w:r>
      <w:r>
        <w:rPr>
          <w:rFonts w:hint="eastAsia" w:ascii="仿宋_GB2312" w:eastAsia="仿宋_GB2312"/>
          <w:sz w:val="32"/>
          <w:szCs w:val="32"/>
        </w:rPr>
        <w:t>年度时花采购项目执行成本核算、审核制度；严格按与供应商签订的合同单价进行结算，资金直接支付给供应商；有完整的审批程序和手续，符合项目预算批复规定的用途；未发现有截留、挤占、挪用、虚列支出等情况。根据评价标准该指标得满分</w:t>
      </w:r>
      <w:r>
        <w:rPr>
          <w:rFonts w:ascii="仿宋_GB2312" w:eastAsia="仿宋_GB2312"/>
          <w:sz w:val="32"/>
          <w:szCs w:val="32"/>
        </w:rPr>
        <w:t>2</w:t>
      </w:r>
      <w:r>
        <w:rPr>
          <w:rFonts w:hint="eastAsia" w:ascii="仿宋_GB2312" w:eastAsia="仿宋_GB2312"/>
          <w:sz w:val="32"/>
          <w:szCs w:val="32"/>
        </w:rPr>
        <w:t>分。</w:t>
      </w:r>
    </w:p>
    <w:p>
      <w:pPr>
        <w:adjustRightInd w:val="0"/>
        <w:snapToGrid w:val="0"/>
        <w:spacing w:line="360" w:lineRule="auto"/>
        <w:ind w:firstLine="648"/>
        <w:rPr>
          <w:rFonts w:ascii="仿宋_GB2312" w:eastAsia="仿宋_GB2312"/>
          <w:sz w:val="32"/>
          <w:szCs w:val="32"/>
        </w:rPr>
      </w:pPr>
      <w:r>
        <w:rPr>
          <w:rFonts w:ascii="仿宋_GB2312" w:eastAsia="仿宋_GB2312"/>
          <w:sz w:val="32"/>
          <w:szCs w:val="32"/>
        </w:rPr>
        <w:t>10.</w:t>
      </w:r>
      <w:r>
        <w:rPr>
          <w:rFonts w:hint="eastAsia"/>
        </w:rPr>
        <w:t xml:space="preserve"> </w:t>
      </w:r>
      <w:r>
        <w:rPr>
          <w:rFonts w:hint="eastAsia" w:ascii="仿宋_GB2312" w:eastAsia="仿宋_GB2312"/>
          <w:sz w:val="32"/>
          <w:szCs w:val="32"/>
        </w:rPr>
        <w:t>B2</w:t>
      </w:r>
      <w:r>
        <w:rPr>
          <w:rFonts w:ascii="仿宋_GB2312" w:eastAsia="仿宋_GB2312"/>
          <w:sz w:val="32"/>
          <w:szCs w:val="32"/>
        </w:rPr>
        <w:t>1</w:t>
      </w:r>
      <w:r>
        <w:rPr>
          <w:rFonts w:hint="eastAsia" w:ascii="仿宋_GB2312" w:eastAsia="仿宋_GB2312"/>
          <w:sz w:val="32"/>
          <w:szCs w:val="32"/>
        </w:rPr>
        <w:t>单位管理制度健全性</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该指标</w:t>
      </w:r>
      <w:r>
        <w:rPr>
          <w:rFonts w:ascii="仿宋_GB2312" w:eastAsia="仿宋_GB2312"/>
          <w:sz w:val="32"/>
          <w:szCs w:val="32"/>
        </w:rPr>
        <w:t>分值为</w:t>
      </w:r>
      <w:r>
        <w:rPr>
          <w:rFonts w:hint="eastAsia" w:ascii="仿宋_GB2312" w:eastAsia="仿宋_GB2312"/>
          <w:sz w:val="32"/>
          <w:szCs w:val="32"/>
        </w:rPr>
        <w:t>4分</w:t>
      </w:r>
      <w:r>
        <w:rPr>
          <w:rFonts w:ascii="仿宋_GB2312" w:eastAsia="仿宋_GB2312"/>
          <w:sz w:val="32"/>
          <w:szCs w:val="32"/>
        </w:rPr>
        <w:t>。</w:t>
      </w:r>
      <w:bookmarkStart w:id="24" w:name="_Hlk106783043"/>
      <w:r>
        <w:rPr>
          <w:rFonts w:hint="eastAsia" w:ascii="仿宋_GB2312" w:eastAsia="仿宋_GB2312"/>
          <w:sz w:val="32"/>
          <w:szCs w:val="32"/>
        </w:rPr>
        <w:t>市园林环卫中心建立有适合本单位资金管理的财务</w:t>
      </w:r>
      <w:bookmarkEnd w:id="24"/>
      <w:r>
        <w:rPr>
          <w:rFonts w:hint="eastAsia" w:ascii="仿宋_GB2312" w:eastAsia="仿宋_GB2312"/>
          <w:sz w:val="32"/>
          <w:szCs w:val="32"/>
        </w:rPr>
        <w:t>制度，按照《石狮市园林绿地检查考核办法（暂行）》《石狮市公园绿地养护管理标准（暂行）》《石狮市城市绿地养护管理标准（暂行）》对项目进行业务管理，单位管理制度健全。根据评价标准该指标得满分</w:t>
      </w:r>
      <w:r>
        <w:rPr>
          <w:rFonts w:ascii="仿宋_GB2312" w:eastAsia="仿宋_GB2312"/>
          <w:sz w:val="32"/>
          <w:szCs w:val="32"/>
        </w:rPr>
        <w:t>4</w:t>
      </w:r>
      <w:r>
        <w:rPr>
          <w:rFonts w:hint="eastAsia" w:ascii="仿宋_GB2312" w:eastAsia="仿宋_GB2312"/>
          <w:sz w:val="32"/>
          <w:szCs w:val="32"/>
        </w:rPr>
        <w:t>分。</w:t>
      </w:r>
    </w:p>
    <w:p>
      <w:pPr>
        <w:adjustRightInd w:val="0"/>
        <w:snapToGrid w:val="0"/>
        <w:spacing w:line="360" w:lineRule="auto"/>
        <w:ind w:firstLine="648"/>
        <w:rPr>
          <w:rFonts w:ascii="仿宋_GB2312" w:eastAsia="仿宋_GB2312"/>
          <w:sz w:val="32"/>
          <w:szCs w:val="32"/>
        </w:rPr>
      </w:pPr>
      <w:r>
        <w:rPr>
          <w:rFonts w:hint="eastAsia" w:ascii="仿宋_GB2312" w:eastAsia="仿宋_GB2312"/>
          <w:sz w:val="32"/>
          <w:szCs w:val="32"/>
        </w:rPr>
        <w:t>1</w:t>
      </w:r>
      <w:r>
        <w:rPr>
          <w:rFonts w:ascii="仿宋_GB2312" w:eastAsia="仿宋_GB2312"/>
          <w:sz w:val="32"/>
          <w:szCs w:val="32"/>
        </w:rPr>
        <w:t>1</w:t>
      </w:r>
      <w:r>
        <w:rPr>
          <w:rFonts w:hint="eastAsia" w:ascii="仿宋_GB2312" w:eastAsia="仿宋_GB2312"/>
          <w:sz w:val="32"/>
          <w:szCs w:val="32"/>
        </w:rPr>
        <w:t>.B22供应商考核管理制度健全性</w:t>
      </w:r>
    </w:p>
    <w:p>
      <w:pPr>
        <w:adjustRightInd w:val="0"/>
        <w:snapToGrid w:val="0"/>
        <w:spacing w:line="360" w:lineRule="auto"/>
        <w:ind w:firstLine="640" w:firstLineChars="200"/>
        <w:rPr>
          <w:rFonts w:ascii="仿宋_GB2312" w:eastAsia="仿宋_GB2312"/>
          <w:sz w:val="32"/>
          <w:szCs w:val="32"/>
        </w:rPr>
      </w:pPr>
      <w:r>
        <w:rPr>
          <w:rFonts w:hint="eastAsia" w:ascii="仿宋_GB2312" w:eastAsia="仿宋_GB2312"/>
          <w:sz w:val="32"/>
          <w:szCs w:val="32"/>
        </w:rPr>
        <w:t>该指标分值为4分。市园林环卫中心未建立针对供应商的考核管理制度，供应商考核管理制度缺失。根据评价标准该指标不得分。</w:t>
      </w:r>
    </w:p>
    <w:p>
      <w:pPr>
        <w:adjustRightInd w:val="0"/>
        <w:snapToGrid w:val="0"/>
        <w:spacing w:line="360" w:lineRule="auto"/>
        <w:ind w:firstLine="648"/>
        <w:rPr>
          <w:rFonts w:ascii="仿宋_GB2312" w:eastAsia="仿宋_GB2312"/>
          <w:sz w:val="32"/>
          <w:szCs w:val="32"/>
        </w:rPr>
      </w:pPr>
      <w:r>
        <w:rPr>
          <w:rFonts w:ascii="仿宋_GB2312" w:eastAsia="仿宋_GB2312"/>
          <w:sz w:val="32"/>
          <w:szCs w:val="32"/>
        </w:rPr>
        <w:t>12.</w:t>
      </w:r>
      <w:r>
        <w:rPr>
          <w:rFonts w:hint="eastAsia" w:ascii="仿宋_GB2312" w:eastAsia="仿宋_GB2312"/>
          <w:sz w:val="32"/>
          <w:szCs w:val="32"/>
        </w:rPr>
        <w:t>B2</w:t>
      </w:r>
      <w:r>
        <w:rPr>
          <w:rFonts w:ascii="仿宋_GB2312" w:eastAsia="仿宋_GB2312"/>
          <w:sz w:val="32"/>
          <w:szCs w:val="32"/>
        </w:rPr>
        <w:t>3</w:t>
      </w:r>
      <w:r>
        <w:rPr>
          <w:rFonts w:hint="eastAsia" w:ascii="仿宋_GB2312" w:eastAsia="仿宋_GB2312"/>
          <w:sz w:val="32"/>
          <w:szCs w:val="32"/>
        </w:rPr>
        <w:t>制度执行有效性</w:t>
      </w:r>
    </w:p>
    <w:p>
      <w:pPr>
        <w:adjustRightInd w:val="0"/>
        <w:spacing w:line="360" w:lineRule="auto"/>
        <w:ind w:firstLine="640" w:firstLineChars="200"/>
        <w:rPr>
          <w:rFonts w:ascii="仿宋_GB2312" w:eastAsia="仿宋_GB2312"/>
          <w:sz w:val="32"/>
          <w:szCs w:val="32"/>
        </w:rPr>
      </w:pPr>
      <w:r>
        <w:rPr>
          <w:rFonts w:hint="eastAsia" w:ascii="仿宋_GB2312" w:eastAsia="仿宋_GB2312"/>
          <w:sz w:val="32"/>
          <w:szCs w:val="32"/>
        </w:rPr>
        <w:t>该指标分值为</w:t>
      </w:r>
      <w:r>
        <w:rPr>
          <w:rFonts w:ascii="仿宋_GB2312" w:eastAsia="仿宋_GB2312"/>
          <w:sz w:val="32"/>
          <w:szCs w:val="32"/>
        </w:rPr>
        <w:t>3</w:t>
      </w:r>
      <w:r>
        <w:rPr>
          <w:rFonts w:hint="eastAsia" w:ascii="仿宋_GB2312" w:eastAsia="仿宋_GB2312"/>
          <w:sz w:val="32"/>
          <w:szCs w:val="32"/>
        </w:rPr>
        <w:t>分。在资金支出环节，申请付款附件有时花采购清单、验收意见单、园林工程结算书、单项工程结算汇总表、分部分项工程量结算清单、工程造价结算审核确定表、工程进度款审批表，但资金支付比率与合同约定的期次和比率不符，未有效履行财务管理。市园林环卫中心没有针对供应商的考核管理制度，未对供应商进行考核。根据评价标准该指标不得分。</w:t>
      </w:r>
    </w:p>
    <w:p>
      <w:pPr>
        <w:adjustRightInd w:val="0"/>
        <w:spacing w:line="360" w:lineRule="auto"/>
        <w:ind w:firstLine="640" w:firstLineChars="200"/>
        <w:rPr>
          <w:rFonts w:ascii="仿宋_GB2312" w:eastAsia="仿宋_GB2312"/>
          <w:sz w:val="32"/>
          <w:szCs w:val="32"/>
        </w:rPr>
      </w:pPr>
      <w:r>
        <w:rPr>
          <w:rFonts w:hint="eastAsia" w:ascii="仿宋_GB2312" w:eastAsia="仿宋_GB2312"/>
          <w:sz w:val="32"/>
          <w:szCs w:val="32"/>
        </w:rPr>
        <w:t>1</w:t>
      </w:r>
      <w:r>
        <w:rPr>
          <w:rFonts w:ascii="仿宋_GB2312" w:eastAsia="仿宋_GB2312"/>
          <w:sz w:val="32"/>
          <w:szCs w:val="32"/>
        </w:rPr>
        <w:t>3</w:t>
      </w:r>
      <w:r>
        <w:rPr>
          <w:rFonts w:hint="eastAsia" w:ascii="仿宋_GB2312" w:eastAsia="仿宋_GB2312"/>
          <w:sz w:val="32"/>
          <w:szCs w:val="32"/>
        </w:rPr>
        <w:t>.B2</w:t>
      </w:r>
      <w:r>
        <w:rPr>
          <w:rFonts w:ascii="仿宋_GB2312" w:eastAsia="仿宋_GB2312"/>
          <w:sz w:val="32"/>
          <w:szCs w:val="32"/>
        </w:rPr>
        <w:t>4</w:t>
      </w:r>
      <w:r>
        <w:rPr>
          <w:rFonts w:hint="eastAsia" w:ascii="仿宋_GB2312" w:eastAsia="仿宋_GB2312"/>
          <w:sz w:val="32"/>
          <w:szCs w:val="32"/>
        </w:rPr>
        <w:t>采购方式和程序合规性</w:t>
      </w:r>
    </w:p>
    <w:p>
      <w:pPr>
        <w:adjustRightInd w:val="0"/>
        <w:spacing w:line="360" w:lineRule="auto"/>
        <w:ind w:firstLine="640" w:firstLineChars="200"/>
        <w:rPr>
          <w:rFonts w:ascii="仿宋_GB2312" w:eastAsia="仿宋_GB2312"/>
          <w:sz w:val="32"/>
          <w:szCs w:val="32"/>
        </w:rPr>
      </w:pPr>
      <w:r>
        <w:rPr>
          <w:rFonts w:hint="eastAsia" w:ascii="仿宋_GB2312" w:eastAsia="仿宋_GB2312"/>
          <w:sz w:val="32"/>
          <w:szCs w:val="32"/>
        </w:rPr>
        <w:t>该指标分值为</w:t>
      </w:r>
      <w:r>
        <w:rPr>
          <w:rFonts w:ascii="仿宋_GB2312" w:eastAsia="仿宋_GB2312"/>
          <w:sz w:val="32"/>
          <w:szCs w:val="32"/>
        </w:rPr>
        <w:t>1.5</w:t>
      </w:r>
      <w:r>
        <w:rPr>
          <w:rFonts w:hint="eastAsia" w:ascii="仿宋_GB2312" w:eastAsia="仿宋_GB2312"/>
          <w:sz w:val="32"/>
          <w:szCs w:val="32"/>
        </w:rPr>
        <w:t>分。市园林环卫中心于2</w:t>
      </w:r>
      <w:r>
        <w:rPr>
          <w:rFonts w:ascii="仿宋_GB2312" w:eastAsia="仿宋_GB2312"/>
          <w:sz w:val="32"/>
          <w:szCs w:val="32"/>
        </w:rPr>
        <w:t>021</w:t>
      </w:r>
      <w:r>
        <w:rPr>
          <w:rFonts w:hint="eastAsia" w:ascii="仿宋_GB2312" w:eastAsia="仿宋_GB2312"/>
          <w:sz w:val="32"/>
          <w:szCs w:val="32"/>
        </w:rPr>
        <w:t>年9月2</w:t>
      </w:r>
      <w:r>
        <w:rPr>
          <w:rFonts w:ascii="仿宋_GB2312" w:eastAsia="仿宋_GB2312"/>
          <w:sz w:val="32"/>
          <w:szCs w:val="32"/>
        </w:rPr>
        <w:t>0</w:t>
      </w:r>
      <w:r>
        <w:rPr>
          <w:rFonts w:hint="eastAsia" w:ascii="仿宋_GB2312" w:eastAsia="仿宋_GB2312"/>
          <w:sz w:val="32"/>
          <w:szCs w:val="32"/>
        </w:rPr>
        <w:t>日发布石狮市市政公用事业处2021年时花采购项目服务类采购项目征求意见公告。通过随机抽取方式选择泉州市信恒招标咨询有限公司作为招标代理公司，于2021年10月26日发布公开招标公告。招标公告和招标文件一起发布，采购文件免费获取，招标文件的提供期限自招标文件开始发出之日起超过5个工作日，评标方法采用综合评分法，招标方式和程序合法规范。根据评价标准该指标得满分</w:t>
      </w:r>
      <w:r>
        <w:rPr>
          <w:rFonts w:ascii="仿宋_GB2312" w:eastAsia="仿宋_GB2312"/>
          <w:sz w:val="32"/>
          <w:szCs w:val="32"/>
        </w:rPr>
        <w:t>1.5</w:t>
      </w:r>
      <w:r>
        <w:rPr>
          <w:rFonts w:hint="eastAsia" w:ascii="仿宋_GB2312" w:eastAsia="仿宋_GB2312"/>
          <w:sz w:val="32"/>
          <w:szCs w:val="32"/>
        </w:rPr>
        <w:t>分。</w:t>
      </w:r>
    </w:p>
    <w:p>
      <w:pPr>
        <w:adjustRightInd w:val="0"/>
        <w:spacing w:line="360" w:lineRule="auto"/>
        <w:ind w:firstLine="640" w:firstLineChars="200"/>
        <w:rPr>
          <w:rFonts w:ascii="仿宋_GB2312" w:eastAsia="仿宋_GB2312"/>
          <w:sz w:val="32"/>
          <w:szCs w:val="32"/>
        </w:rPr>
      </w:pPr>
      <w:r>
        <w:rPr>
          <w:rFonts w:hint="eastAsia" w:ascii="仿宋_GB2312" w:eastAsia="仿宋_GB2312"/>
          <w:sz w:val="32"/>
          <w:szCs w:val="32"/>
        </w:rPr>
        <w:t>1</w:t>
      </w:r>
      <w:r>
        <w:rPr>
          <w:rFonts w:ascii="仿宋_GB2312" w:eastAsia="仿宋_GB2312"/>
          <w:sz w:val="32"/>
          <w:szCs w:val="32"/>
        </w:rPr>
        <w:t>4</w:t>
      </w:r>
      <w:r>
        <w:rPr>
          <w:rFonts w:hint="eastAsia" w:ascii="仿宋_GB2312" w:eastAsia="仿宋_GB2312"/>
          <w:sz w:val="32"/>
          <w:szCs w:val="32"/>
        </w:rPr>
        <w:t>.B2</w:t>
      </w:r>
      <w:r>
        <w:rPr>
          <w:rFonts w:ascii="仿宋_GB2312" w:eastAsia="仿宋_GB2312"/>
          <w:sz w:val="32"/>
          <w:szCs w:val="32"/>
        </w:rPr>
        <w:t>5</w:t>
      </w:r>
      <w:r>
        <w:rPr>
          <w:rFonts w:hint="eastAsia" w:ascii="仿宋_GB2312" w:eastAsia="仿宋_GB2312"/>
          <w:sz w:val="32"/>
          <w:szCs w:val="32"/>
        </w:rPr>
        <w:t>采购政策执行情况</w:t>
      </w:r>
    </w:p>
    <w:p>
      <w:pPr>
        <w:adjustRightInd w:val="0"/>
        <w:spacing w:line="360" w:lineRule="auto"/>
        <w:ind w:firstLine="640" w:firstLineChars="200"/>
        <w:rPr>
          <w:rFonts w:ascii="仿宋_GB2312" w:eastAsia="仿宋_GB2312"/>
          <w:sz w:val="32"/>
          <w:szCs w:val="32"/>
        </w:rPr>
      </w:pPr>
      <w:r>
        <w:rPr>
          <w:rFonts w:hint="eastAsia" w:ascii="仿宋_GB2312" w:eastAsia="仿宋_GB2312"/>
          <w:sz w:val="32"/>
          <w:szCs w:val="32"/>
        </w:rPr>
        <w:t>该指标分值为</w:t>
      </w:r>
      <w:r>
        <w:rPr>
          <w:rFonts w:ascii="仿宋_GB2312" w:eastAsia="仿宋_GB2312"/>
          <w:sz w:val="32"/>
          <w:szCs w:val="32"/>
        </w:rPr>
        <w:t>2</w:t>
      </w:r>
      <w:r>
        <w:rPr>
          <w:rFonts w:hint="eastAsia" w:ascii="仿宋_GB2312" w:eastAsia="仿宋_GB2312"/>
          <w:sz w:val="32"/>
          <w:szCs w:val="32"/>
        </w:rPr>
        <w:t>分。招标文件中明确，落实政府采购政策，环境标志产品、促进中小企业发展、监狱企业、促进残疾人就业政策均适合本项目，取得政府采购合同的供应商均可使用政府采购合同向福建省政府采购网发布的政府采购合同融资业务信息的银行业</w:t>
      </w:r>
      <w:r>
        <w:rPr>
          <w:rFonts w:hint="eastAsia" w:ascii="仿宋_GB2312" w:eastAsia="仿宋_GB2312"/>
          <w:sz w:val="32"/>
          <w:szCs w:val="32"/>
          <w:lang w:eastAsia="zh-CN"/>
        </w:rPr>
        <w:t>金</w:t>
      </w:r>
      <w:r>
        <w:rPr>
          <w:rFonts w:hint="eastAsia" w:ascii="仿宋_GB2312" w:eastAsia="仿宋_GB2312"/>
          <w:sz w:val="32"/>
          <w:szCs w:val="32"/>
        </w:rPr>
        <w:t>融机构申请贷款，可在“政采贷”模块进行具体操作。中标通知书上也注明，中标供应商可在合同签订前，通过中标通知书向银行申请融资，并提供了政策查询网址。政府采购政策落实到位，根据评价标准该指标得满分</w:t>
      </w:r>
      <w:r>
        <w:rPr>
          <w:rFonts w:ascii="仿宋_GB2312" w:eastAsia="仿宋_GB2312"/>
          <w:sz w:val="32"/>
          <w:szCs w:val="32"/>
        </w:rPr>
        <w:t>2</w:t>
      </w:r>
      <w:r>
        <w:rPr>
          <w:rFonts w:hint="eastAsia" w:ascii="仿宋_GB2312" w:eastAsia="仿宋_GB2312"/>
          <w:sz w:val="32"/>
          <w:szCs w:val="32"/>
        </w:rPr>
        <w:t>分。</w:t>
      </w:r>
    </w:p>
    <w:p>
      <w:pPr>
        <w:adjustRightInd w:val="0"/>
        <w:spacing w:line="360" w:lineRule="auto"/>
        <w:ind w:firstLine="640" w:firstLineChars="200"/>
        <w:rPr>
          <w:rFonts w:ascii="仿宋_GB2312" w:eastAsia="仿宋_GB2312"/>
          <w:sz w:val="32"/>
          <w:szCs w:val="32"/>
        </w:rPr>
      </w:pPr>
      <w:r>
        <w:rPr>
          <w:rFonts w:hint="eastAsia" w:ascii="仿宋_GB2312" w:eastAsia="仿宋_GB2312"/>
          <w:sz w:val="32"/>
          <w:szCs w:val="32"/>
        </w:rPr>
        <w:t>1</w:t>
      </w:r>
      <w:r>
        <w:rPr>
          <w:rFonts w:ascii="仿宋_GB2312" w:eastAsia="仿宋_GB2312"/>
          <w:sz w:val="32"/>
          <w:szCs w:val="32"/>
        </w:rPr>
        <w:t>5</w:t>
      </w:r>
      <w:r>
        <w:rPr>
          <w:rFonts w:hint="eastAsia" w:ascii="仿宋_GB2312" w:eastAsia="仿宋_GB2312"/>
          <w:sz w:val="32"/>
          <w:szCs w:val="32"/>
        </w:rPr>
        <w:t>.B2</w:t>
      </w:r>
      <w:r>
        <w:rPr>
          <w:rFonts w:ascii="仿宋_GB2312" w:eastAsia="仿宋_GB2312"/>
          <w:sz w:val="32"/>
          <w:szCs w:val="32"/>
        </w:rPr>
        <w:t>6</w:t>
      </w:r>
      <w:r>
        <w:rPr>
          <w:rFonts w:hint="eastAsia" w:ascii="仿宋_GB2312" w:eastAsia="仿宋_GB2312"/>
          <w:sz w:val="32"/>
          <w:szCs w:val="32"/>
        </w:rPr>
        <w:t>采购内控管理</w:t>
      </w:r>
    </w:p>
    <w:p>
      <w:pPr>
        <w:adjustRightInd w:val="0"/>
        <w:spacing w:line="360" w:lineRule="auto"/>
        <w:ind w:firstLine="640" w:firstLineChars="200"/>
        <w:rPr>
          <w:rFonts w:ascii="仿宋_GB2312" w:eastAsia="仿宋_GB2312"/>
          <w:sz w:val="32"/>
          <w:szCs w:val="32"/>
        </w:rPr>
      </w:pPr>
      <w:r>
        <w:rPr>
          <w:rFonts w:hint="eastAsia" w:ascii="仿宋_GB2312" w:eastAsia="仿宋_GB2312"/>
          <w:sz w:val="32"/>
          <w:szCs w:val="32"/>
        </w:rPr>
        <w:t>该指标分值为</w:t>
      </w:r>
      <w:r>
        <w:rPr>
          <w:rFonts w:ascii="仿宋_GB2312" w:eastAsia="仿宋_GB2312"/>
          <w:sz w:val="32"/>
          <w:szCs w:val="32"/>
        </w:rPr>
        <w:t>1.5</w:t>
      </w:r>
      <w:r>
        <w:rPr>
          <w:rFonts w:hint="eastAsia" w:ascii="仿宋_GB2312" w:eastAsia="仿宋_GB2312"/>
          <w:sz w:val="32"/>
          <w:szCs w:val="32"/>
        </w:rPr>
        <w:t>分。本项目评审委员5人，1人为项目单位工作人员，另外4人从评审专家库中产生，评审委员组成符合规定。经现场询问项目单位和网上查询，该项目评审中未发现举报、投诉情况。根据评价标准该指标得满分</w:t>
      </w:r>
      <w:r>
        <w:rPr>
          <w:rFonts w:ascii="仿宋_GB2312" w:eastAsia="仿宋_GB2312"/>
          <w:sz w:val="32"/>
          <w:szCs w:val="32"/>
        </w:rPr>
        <w:t>1.5</w:t>
      </w:r>
      <w:r>
        <w:rPr>
          <w:rFonts w:hint="eastAsia" w:ascii="仿宋_GB2312" w:eastAsia="仿宋_GB2312"/>
          <w:sz w:val="32"/>
          <w:szCs w:val="32"/>
        </w:rPr>
        <w:t>分。</w:t>
      </w:r>
    </w:p>
    <w:p>
      <w:pPr>
        <w:keepNext/>
        <w:keepLines/>
        <w:spacing w:line="360" w:lineRule="auto"/>
        <w:ind w:firstLine="642" w:firstLineChars="200"/>
        <w:outlineLvl w:val="1"/>
        <w:rPr>
          <w:rFonts w:ascii="黑体" w:hAnsi="黑体" w:eastAsia="楷体"/>
          <w:b/>
          <w:bCs/>
          <w:kern w:val="44"/>
          <w:sz w:val="32"/>
          <w:szCs w:val="30"/>
        </w:rPr>
      </w:pPr>
      <w:bookmarkStart w:id="25" w:name="_Toc142062807"/>
      <w:r>
        <w:rPr>
          <w:rFonts w:hint="eastAsia" w:ascii="黑体" w:hAnsi="黑体" w:eastAsia="楷体"/>
          <w:b/>
          <w:bCs/>
          <w:kern w:val="44"/>
          <w:sz w:val="32"/>
          <w:szCs w:val="30"/>
        </w:rPr>
        <w:t>（四）产出及效果评价分析</w:t>
      </w:r>
      <w:bookmarkEnd w:id="25"/>
    </w:p>
    <w:p>
      <w:pPr>
        <w:spacing w:line="360" w:lineRule="auto"/>
        <w:ind w:firstLine="640" w:firstLineChars="200"/>
        <w:rPr>
          <w:rFonts w:ascii="仿宋_GB2312" w:eastAsia="仿宋_GB2312"/>
          <w:bCs/>
          <w:color w:val="000000"/>
          <w:sz w:val="32"/>
          <w:szCs w:val="32"/>
        </w:rPr>
      </w:pPr>
      <w:r>
        <w:rPr>
          <w:rFonts w:ascii="仿宋_GB2312" w:eastAsia="仿宋"/>
          <w:bCs/>
          <w:sz w:val="32"/>
          <w:szCs w:val="32"/>
        </w:rPr>
        <w:t>1</w:t>
      </w:r>
      <w:r>
        <w:rPr>
          <w:rFonts w:hint="eastAsia" w:ascii="仿宋_GB2312" w:eastAsia="仿宋"/>
          <w:bCs/>
          <w:sz w:val="32"/>
          <w:szCs w:val="32"/>
        </w:rPr>
        <w:t>.</w:t>
      </w:r>
      <w:r>
        <w:rPr>
          <w:rFonts w:hint="eastAsia" w:ascii="仿宋_GB2312" w:eastAsia="仿宋_GB2312"/>
          <w:bCs/>
          <w:sz w:val="32"/>
          <w:szCs w:val="32"/>
        </w:rPr>
        <w:t>C11采购数量完成率</w:t>
      </w:r>
    </w:p>
    <w:p>
      <w:pPr>
        <w:spacing w:line="360" w:lineRule="auto"/>
        <w:ind w:firstLine="648"/>
        <w:rPr>
          <w:rFonts w:ascii="仿宋_GB2312" w:eastAsia="仿宋_GB2312"/>
          <w:color w:val="000000"/>
          <w:sz w:val="32"/>
          <w:szCs w:val="32"/>
        </w:rPr>
      </w:pPr>
      <w:r>
        <w:rPr>
          <w:rFonts w:hint="eastAsia" w:ascii="仿宋_GB2312" w:eastAsia="仿宋_GB2312"/>
          <w:color w:val="000000"/>
          <w:sz w:val="32"/>
          <w:szCs w:val="32"/>
        </w:rPr>
        <w:t>该指标分值为</w:t>
      </w:r>
      <w:r>
        <w:rPr>
          <w:rFonts w:ascii="仿宋_GB2312" w:eastAsia="仿宋_GB2312"/>
          <w:color w:val="000000"/>
          <w:sz w:val="32"/>
          <w:szCs w:val="32"/>
        </w:rPr>
        <w:t>4</w:t>
      </w:r>
      <w:r>
        <w:rPr>
          <w:rFonts w:hint="eastAsia" w:ascii="仿宋_GB2312" w:eastAsia="仿宋_GB2312"/>
          <w:color w:val="000000"/>
          <w:sz w:val="32"/>
          <w:szCs w:val="32"/>
        </w:rPr>
        <w:t>分</w:t>
      </w:r>
      <w:r>
        <w:rPr>
          <w:rFonts w:ascii="仿宋_GB2312" w:eastAsia="仿宋_GB2312"/>
          <w:color w:val="000000"/>
          <w:sz w:val="32"/>
          <w:szCs w:val="32"/>
        </w:rPr>
        <w:t>。</w:t>
      </w:r>
      <w:r>
        <w:rPr>
          <w:rFonts w:hint="eastAsia" w:ascii="仿宋_GB2312" w:eastAsia="仿宋_GB2312"/>
          <w:color w:val="000000"/>
          <w:sz w:val="32"/>
          <w:szCs w:val="32"/>
        </w:rPr>
        <w:t>年度设置绩效指标为时花采购面积≥20000平方米，招标文件和政府采购合同约定采购数量为5</w:t>
      </w:r>
      <w:r>
        <w:rPr>
          <w:rFonts w:ascii="仿宋_GB2312" w:eastAsia="仿宋_GB2312"/>
          <w:color w:val="000000"/>
          <w:sz w:val="32"/>
          <w:szCs w:val="32"/>
        </w:rPr>
        <w:t>750000</w:t>
      </w:r>
      <w:r>
        <w:rPr>
          <w:rFonts w:hint="eastAsia" w:ascii="仿宋_GB2312" w:eastAsia="仿宋_GB2312"/>
          <w:color w:val="000000"/>
          <w:sz w:val="32"/>
          <w:szCs w:val="32"/>
        </w:rPr>
        <w:t>株，当年实际采购</w:t>
      </w:r>
      <w:r>
        <w:rPr>
          <w:rFonts w:ascii="仿宋_GB2312" w:eastAsia="仿宋_GB2312"/>
          <w:color w:val="000000"/>
          <w:sz w:val="32"/>
          <w:szCs w:val="32"/>
        </w:rPr>
        <w:t>5</w:t>
      </w:r>
      <w:r>
        <w:rPr>
          <w:rFonts w:hint="eastAsia" w:ascii="仿宋_GB2312" w:eastAsia="仿宋_GB2312"/>
          <w:color w:val="000000"/>
          <w:sz w:val="32"/>
          <w:szCs w:val="32"/>
        </w:rPr>
        <w:t>批共</w:t>
      </w:r>
      <w:r>
        <w:rPr>
          <w:rFonts w:ascii="仿宋_GB2312" w:eastAsia="仿宋_GB2312"/>
          <w:color w:val="000000"/>
          <w:sz w:val="32"/>
          <w:szCs w:val="32"/>
        </w:rPr>
        <w:t>4285974</w:t>
      </w:r>
      <w:r>
        <w:rPr>
          <w:rFonts w:hint="eastAsia" w:ascii="仿宋_GB2312" w:eastAsia="仿宋_GB2312"/>
          <w:color w:val="000000"/>
          <w:sz w:val="32"/>
          <w:szCs w:val="32"/>
        </w:rPr>
        <w:t>株，采购数量完成率</w:t>
      </w:r>
      <w:r>
        <w:rPr>
          <w:rFonts w:ascii="仿宋_GB2312" w:eastAsia="仿宋_GB2312"/>
          <w:color w:val="000000"/>
          <w:sz w:val="32"/>
          <w:szCs w:val="32"/>
        </w:rPr>
        <w:t>74.54</w:t>
      </w:r>
      <w:r>
        <w:rPr>
          <w:rFonts w:hint="eastAsia" w:ascii="仿宋_GB2312" w:eastAsia="仿宋_GB2312"/>
          <w:color w:val="000000"/>
          <w:sz w:val="32"/>
          <w:szCs w:val="32"/>
        </w:rPr>
        <w:t>%。根据评价标准该指标扣分</w:t>
      </w:r>
      <w:r>
        <w:rPr>
          <w:rFonts w:ascii="仿宋_GB2312" w:eastAsia="仿宋_GB2312"/>
          <w:color w:val="000000"/>
          <w:sz w:val="32"/>
          <w:szCs w:val="32"/>
        </w:rPr>
        <w:t>1.02</w:t>
      </w:r>
      <w:r>
        <w:rPr>
          <w:rFonts w:hint="eastAsia" w:ascii="仿宋_GB2312" w:eastAsia="仿宋_GB2312"/>
          <w:color w:val="000000"/>
          <w:sz w:val="32"/>
          <w:szCs w:val="32"/>
        </w:rPr>
        <w:t>分，得分为</w:t>
      </w:r>
      <w:r>
        <w:rPr>
          <w:rFonts w:ascii="仿宋_GB2312" w:eastAsia="仿宋_GB2312"/>
          <w:color w:val="000000"/>
          <w:sz w:val="32"/>
          <w:szCs w:val="32"/>
        </w:rPr>
        <w:t>2.98</w:t>
      </w:r>
      <w:r>
        <w:rPr>
          <w:rFonts w:hint="eastAsia" w:ascii="仿宋_GB2312" w:eastAsia="仿宋_GB2312"/>
          <w:color w:val="000000"/>
          <w:sz w:val="32"/>
          <w:szCs w:val="32"/>
        </w:rPr>
        <w:t>分。具体采购情况见表4-</w:t>
      </w:r>
      <w:r>
        <w:rPr>
          <w:rFonts w:ascii="仿宋_GB2312" w:eastAsia="仿宋_GB2312"/>
          <w:color w:val="000000"/>
          <w:sz w:val="32"/>
          <w:szCs w:val="32"/>
        </w:rPr>
        <w:t>3</w:t>
      </w:r>
      <w:r>
        <w:rPr>
          <w:rFonts w:hint="eastAsia" w:ascii="仿宋_GB2312" w:eastAsia="仿宋_GB2312"/>
          <w:color w:val="000000"/>
          <w:sz w:val="32"/>
          <w:szCs w:val="32"/>
        </w:rPr>
        <w:t>：</w:t>
      </w:r>
    </w:p>
    <w:p>
      <w:pPr>
        <w:spacing w:line="560" w:lineRule="exact"/>
        <w:jc w:val="center"/>
        <w:rPr>
          <w:rFonts w:ascii="仿宋_GB2312" w:eastAsia="仿宋_GB2312"/>
          <w:color w:val="000000"/>
          <w:sz w:val="32"/>
          <w:szCs w:val="32"/>
        </w:rPr>
      </w:pPr>
      <w:r>
        <w:rPr>
          <w:rFonts w:hint="eastAsia" w:ascii="仿宋_GB2312" w:eastAsia="仿宋_GB2312"/>
          <w:color w:val="000000"/>
          <w:sz w:val="32"/>
          <w:szCs w:val="32"/>
        </w:rPr>
        <w:t>表4-3</w:t>
      </w:r>
      <w:r>
        <w:rPr>
          <w:rFonts w:ascii="仿宋_GB2312" w:eastAsia="仿宋_GB2312"/>
          <w:color w:val="000000"/>
          <w:sz w:val="32"/>
          <w:szCs w:val="32"/>
        </w:rPr>
        <w:t xml:space="preserve"> </w:t>
      </w:r>
      <w:r>
        <w:rPr>
          <w:rFonts w:hint="eastAsia" w:ascii="仿宋_GB2312" w:eastAsia="仿宋_GB2312"/>
          <w:color w:val="000000"/>
          <w:sz w:val="32"/>
          <w:szCs w:val="32"/>
        </w:rPr>
        <w:t>时花采购项目完成情况表</w:t>
      </w:r>
    </w:p>
    <w:tbl>
      <w:tblPr>
        <w:tblStyle w:val="12"/>
        <w:tblW w:w="8217" w:type="dxa"/>
        <w:jc w:val="center"/>
        <w:tblLayout w:type="autofit"/>
        <w:tblCellMar>
          <w:top w:w="0" w:type="dxa"/>
          <w:left w:w="108" w:type="dxa"/>
          <w:bottom w:w="0" w:type="dxa"/>
          <w:right w:w="108" w:type="dxa"/>
        </w:tblCellMar>
      </w:tblPr>
      <w:tblGrid>
        <w:gridCol w:w="3266"/>
        <w:gridCol w:w="2971"/>
        <w:gridCol w:w="1980"/>
      </w:tblGrid>
      <w:tr>
        <w:tblPrEx>
          <w:tblCellMar>
            <w:top w:w="0" w:type="dxa"/>
            <w:left w:w="108" w:type="dxa"/>
            <w:bottom w:w="0" w:type="dxa"/>
            <w:right w:w="108" w:type="dxa"/>
          </w:tblCellMar>
        </w:tblPrEx>
        <w:trPr>
          <w:trHeight w:val="567" w:hRule="atLeast"/>
          <w:tblHeader/>
          <w:jc w:val="center"/>
        </w:trPr>
        <w:tc>
          <w:tcPr>
            <w:tcW w:w="3266"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供应批次</w:t>
            </w:r>
          </w:p>
        </w:tc>
        <w:tc>
          <w:tcPr>
            <w:tcW w:w="2971" w:type="dxa"/>
            <w:tcBorders>
              <w:top w:val="single" w:color="auto" w:sz="4" w:space="0"/>
              <w:left w:val="nil"/>
              <w:bottom w:val="single" w:color="auto" w:sz="4" w:space="0"/>
              <w:right w:val="single" w:color="auto" w:sz="4" w:space="0"/>
            </w:tcBorders>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供应数量</w:t>
            </w:r>
          </w:p>
        </w:tc>
        <w:tc>
          <w:tcPr>
            <w:tcW w:w="1980"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单位</w:t>
            </w:r>
          </w:p>
        </w:tc>
      </w:tr>
      <w:tr>
        <w:tblPrEx>
          <w:tblCellMar>
            <w:top w:w="0" w:type="dxa"/>
            <w:left w:w="108" w:type="dxa"/>
            <w:bottom w:w="0" w:type="dxa"/>
            <w:right w:w="108" w:type="dxa"/>
          </w:tblCellMar>
        </w:tblPrEx>
        <w:trPr>
          <w:trHeight w:val="567" w:hRule="atLeast"/>
          <w:jc w:val="center"/>
        </w:trPr>
        <w:tc>
          <w:tcPr>
            <w:tcW w:w="3266"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第一批</w:t>
            </w:r>
          </w:p>
        </w:tc>
        <w:tc>
          <w:tcPr>
            <w:tcW w:w="2971" w:type="dxa"/>
            <w:tcBorders>
              <w:top w:val="single" w:color="auto" w:sz="4" w:space="0"/>
              <w:left w:val="nil"/>
              <w:bottom w:val="single" w:color="auto" w:sz="4" w:space="0"/>
              <w:right w:val="single" w:color="auto" w:sz="4" w:space="0"/>
            </w:tcBorders>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826328</w:t>
            </w:r>
          </w:p>
        </w:tc>
        <w:tc>
          <w:tcPr>
            <w:tcW w:w="1980"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株</w:t>
            </w:r>
          </w:p>
        </w:tc>
      </w:tr>
      <w:tr>
        <w:tblPrEx>
          <w:tblCellMar>
            <w:top w:w="0" w:type="dxa"/>
            <w:left w:w="108" w:type="dxa"/>
            <w:bottom w:w="0" w:type="dxa"/>
            <w:right w:w="108" w:type="dxa"/>
          </w:tblCellMar>
        </w:tblPrEx>
        <w:trPr>
          <w:trHeight w:val="567" w:hRule="atLeast"/>
          <w:jc w:val="center"/>
        </w:trPr>
        <w:tc>
          <w:tcPr>
            <w:tcW w:w="3266"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第二批</w:t>
            </w:r>
          </w:p>
        </w:tc>
        <w:tc>
          <w:tcPr>
            <w:tcW w:w="2971" w:type="dxa"/>
            <w:tcBorders>
              <w:top w:val="single" w:color="auto" w:sz="4" w:space="0"/>
              <w:left w:val="nil"/>
              <w:bottom w:val="single" w:color="auto" w:sz="4" w:space="0"/>
              <w:right w:val="single" w:color="auto" w:sz="4" w:space="0"/>
            </w:tcBorders>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769590</w:t>
            </w:r>
          </w:p>
        </w:tc>
        <w:tc>
          <w:tcPr>
            <w:tcW w:w="1980"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株</w:t>
            </w:r>
          </w:p>
        </w:tc>
      </w:tr>
      <w:tr>
        <w:tblPrEx>
          <w:tblCellMar>
            <w:top w:w="0" w:type="dxa"/>
            <w:left w:w="108" w:type="dxa"/>
            <w:bottom w:w="0" w:type="dxa"/>
            <w:right w:w="108" w:type="dxa"/>
          </w:tblCellMar>
        </w:tblPrEx>
        <w:trPr>
          <w:trHeight w:val="567" w:hRule="atLeast"/>
          <w:jc w:val="center"/>
        </w:trPr>
        <w:tc>
          <w:tcPr>
            <w:tcW w:w="3266"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第三批</w:t>
            </w:r>
          </w:p>
        </w:tc>
        <w:tc>
          <w:tcPr>
            <w:tcW w:w="2971" w:type="dxa"/>
            <w:tcBorders>
              <w:top w:val="single" w:color="auto" w:sz="4" w:space="0"/>
              <w:left w:val="nil"/>
              <w:bottom w:val="single" w:color="auto" w:sz="4" w:space="0"/>
              <w:right w:val="single" w:color="auto" w:sz="4" w:space="0"/>
            </w:tcBorders>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649152</w:t>
            </w:r>
          </w:p>
        </w:tc>
        <w:tc>
          <w:tcPr>
            <w:tcW w:w="1980"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株</w:t>
            </w:r>
          </w:p>
        </w:tc>
      </w:tr>
      <w:tr>
        <w:tblPrEx>
          <w:tblCellMar>
            <w:top w:w="0" w:type="dxa"/>
            <w:left w:w="108" w:type="dxa"/>
            <w:bottom w:w="0" w:type="dxa"/>
            <w:right w:w="108" w:type="dxa"/>
          </w:tblCellMar>
        </w:tblPrEx>
        <w:trPr>
          <w:trHeight w:val="567" w:hRule="atLeast"/>
          <w:jc w:val="center"/>
        </w:trPr>
        <w:tc>
          <w:tcPr>
            <w:tcW w:w="3266"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第四批</w:t>
            </w:r>
          </w:p>
        </w:tc>
        <w:tc>
          <w:tcPr>
            <w:tcW w:w="2971" w:type="dxa"/>
            <w:tcBorders>
              <w:top w:val="single" w:color="auto" w:sz="4" w:space="0"/>
              <w:left w:val="nil"/>
              <w:bottom w:val="single" w:color="auto" w:sz="4" w:space="0"/>
              <w:right w:val="single" w:color="auto" w:sz="4" w:space="0"/>
            </w:tcBorders>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957870</w:t>
            </w:r>
          </w:p>
        </w:tc>
        <w:tc>
          <w:tcPr>
            <w:tcW w:w="1980"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株</w:t>
            </w:r>
          </w:p>
        </w:tc>
      </w:tr>
      <w:tr>
        <w:tblPrEx>
          <w:tblCellMar>
            <w:top w:w="0" w:type="dxa"/>
            <w:left w:w="108" w:type="dxa"/>
            <w:bottom w:w="0" w:type="dxa"/>
            <w:right w:w="108" w:type="dxa"/>
          </w:tblCellMar>
        </w:tblPrEx>
        <w:trPr>
          <w:trHeight w:val="567" w:hRule="atLeast"/>
          <w:jc w:val="center"/>
        </w:trPr>
        <w:tc>
          <w:tcPr>
            <w:tcW w:w="3266"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第五批</w:t>
            </w:r>
          </w:p>
        </w:tc>
        <w:tc>
          <w:tcPr>
            <w:tcW w:w="2971" w:type="dxa"/>
            <w:tcBorders>
              <w:top w:val="single" w:color="auto" w:sz="4" w:space="0"/>
              <w:left w:val="nil"/>
              <w:bottom w:val="single" w:color="auto" w:sz="4" w:space="0"/>
              <w:right w:val="single" w:color="auto" w:sz="4" w:space="0"/>
            </w:tcBorders>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1083034</w:t>
            </w:r>
          </w:p>
        </w:tc>
        <w:tc>
          <w:tcPr>
            <w:tcW w:w="1980"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株</w:t>
            </w:r>
          </w:p>
        </w:tc>
      </w:tr>
      <w:tr>
        <w:tblPrEx>
          <w:tblCellMar>
            <w:top w:w="0" w:type="dxa"/>
            <w:left w:w="108" w:type="dxa"/>
            <w:bottom w:w="0" w:type="dxa"/>
            <w:right w:w="108" w:type="dxa"/>
          </w:tblCellMar>
        </w:tblPrEx>
        <w:trPr>
          <w:trHeight w:val="567" w:hRule="atLeast"/>
          <w:jc w:val="center"/>
        </w:trPr>
        <w:tc>
          <w:tcPr>
            <w:tcW w:w="3266"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合计</w:t>
            </w:r>
          </w:p>
        </w:tc>
        <w:tc>
          <w:tcPr>
            <w:tcW w:w="2971" w:type="dxa"/>
            <w:tcBorders>
              <w:top w:val="single" w:color="auto" w:sz="4" w:space="0"/>
              <w:left w:val="nil"/>
              <w:bottom w:val="single" w:color="auto" w:sz="4" w:space="0"/>
              <w:right w:val="single" w:color="auto" w:sz="4" w:space="0"/>
            </w:tcBorders>
            <w:vAlign w:val="center"/>
          </w:tcPr>
          <w:p>
            <w:pPr>
              <w:widowControl/>
              <w:spacing w:line="560" w:lineRule="exact"/>
              <w:jc w:val="center"/>
              <w:rPr>
                <w:rFonts w:ascii="宋体" w:hAnsi="宋体" w:cs="宋体"/>
                <w:color w:val="000000"/>
                <w:kern w:val="0"/>
                <w:sz w:val="24"/>
              </w:rPr>
            </w:pPr>
            <w:r>
              <w:rPr>
                <w:rFonts w:ascii="宋体" w:hAnsi="宋体" w:cs="宋体"/>
                <w:color w:val="000000"/>
                <w:kern w:val="0"/>
                <w:sz w:val="24"/>
              </w:rPr>
              <w:t>4285974</w:t>
            </w:r>
          </w:p>
        </w:tc>
        <w:tc>
          <w:tcPr>
            <w:tcW w:w="1980"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株</w:t>
            </w:r>
          </w:p>
        </w:tc>
      </w:tr>
    </w:tbl>
    <w:p>
      <w:pPr>
        <w:spacing w:line="360" w:lineRule="auto"/>
        <w:ind w:firstLine="648"/>
        <w:rPr>
          <w:rFonts w:ascii="仿宋_GB2312" w:eastAsia="仿宋_GB2312"/>
          <w:bCs/>
          <w:color w:val="000000"/>
          <w:sz w:val="32"/>
          <w:szCs w:val="32"/>
        </w:rPr>
      </w:pPr>
      <w:r>
        <w:rPr>
          <w:rFonts w:ascii="仿宋_GB2312" w:eastAsia="仿宋_GB2312"/>
          <w:bCs/>
          <w:color w:val="000000"/>
          <w:sz w:val="32"/>
          <w:szCs w:val="32"/>
        </w:rPr>
        <w:t>2.</w:t>
      </w:r>
      <w:r>
        <w:rPr>
          <w:rFonts w:hint="eastAsia" w:ascii="仿宋_GB2312" w:eastAsia="仿宋_GB2312"/>
          <w:bCs/>
          <w:color w:val="000000"/>
          <w:sz w:val="32"/>
          <w:szCs w:val="32"/>
        </w:rPr>
        <w:t>C12时花存活率</w:t>
      </w:r>
    </w:p>
    <w:p>
      <w:pPr>
        <w:spacing w:line="360" w:lineRule="auto"/>
        <w:ind w:firstLine="648"/>
        <w:rPr>
          <w:rFonts w:ascii="仿宋_GB2312" w:eastAsia="仿宋_GB2312"/>
          <w:color w:val="000000"/>
          <w:sz w:val="32"/>
          <w:szCs w:val="32"/>
        </w:rPr>
      </w:pPr>
      <w:r>
        <w:rPr>
          <w:rFonts w:hint="eastAsia" w:ascii="仿宋_GB2312" w:eastAsia="仿宋_GB2312"/>
          <w:color w:val="000000"/>
          <w:sz w:val="32"/>
          <w:szCs w:val="32"/>
        </w:rPr>
        <w:t>该指标分值为</w:t>
      </w:r>
      <w:r>
        <w:rPr>
          <w:rFonts w:ascii="仿宋_GB2312" w:eastAsia="仿宋_GB2312"/>
          <w:color w:val="000000"/>
          <w:sz w:val="32"/>
          <w:szCs w:val="32"/>
        </w:rPr>
        <w:t>4</w:t>
      </w:r>
      <w:r>
        <w:rPr>
          <w:rFonts w:hint="eastAsia" w:ascii="仿宋_GB2312" w:eastAsia="仿宋_GB2312"/>
          <w:color w:val="000000"/>
          <w:sz w:val="32"/>
          <w:szCs w:val="32"/>
        </w:rPr>
        <w:t>分。年度设置绩效指标为时花存活率≥98%，项目单位统计全年实际完成情况为时花存活率1</w:t>
      </w:r>
      <w:r>
        <w:rPr>
          <w:rFonts w:ascii="仿宋_GB2312" w:eastAsia="仿宋_GB2312"/>
          <w:color w:val="000000"/>
          <w:sz w:val="32"/>
          <w:szCs w:val="32"/>
        </w:rPr>
        <w:t>00</w:t>
      </w:r>
      <w:r>
        <w:rPr>
          <w:rFonts w:hint="eastAsia" w:ascii="仿宋_GB2312" w:eastAsia="仿宋_GB2312"/>
          <w:color w:val="000000"/>
          <w:sz w:val="32"/>
          <w:szCs w:val="32"/>
        </w:rPr>
        <w:t>%。</w:t>
      </w:r>
      <w:bookmarkStart w:id="26" w:name="_Hlk106783523"/>
      <w:r>
        <w:rPr>
          <w:rFonts w:hint="eastAsia" w:ascii="仿宋_GB2312" w:eastAsia="仿宋_GB2312"/>
          <w:color w:val="000000"/>
          <w:sz w:val="32"/>
          <w:szCs w:val="32"/>
        </w:rPr>
        <w:t>根据评价标准该指标得满分</w:t>
      </w:r>
      <w:r>
        <w:rPr>
          <w:rFonts w:ascii="仿宋_GB2312" w:eastAsia="仿宋_GB2312"/>
          <w:color w:val="000000"/>
          <w:sz w:val="32"/>
          <w:szCs w:val="32"/>
        </w:rPr>
        <w:t>4</w:t>
      </w:r>
      <w:r>
        <w:rPr>
          <w:rFonts w:hint="eastAsia" w:ascii="仿宋_GB2312" w:eastAsia="仿宋_GB2312"/>
          <w:color w:val="000000"/>
          <w:sz w:val="32"/>
          <w:szCs w:val="32"/>
        </w:rPr>
        <w:t>分。</w:t>
      </w:r>
      <w:bookmarkEnd w:id="26"/>
    </w:p>
    <w:p>
      <w:pPr>
        <w:spacing w:line="360" w:lineRule="auto"/>
        <w:ind w:firstLine="648"/>
        <w:rPr>
          <w:rFonts w:ascii="仿宋_GB2312" w:eastAsia="仿宋_GB2312"/>
          <w:color w:val="000000"/>
          <w:sz w:val="32"/>
          <w:szCs w:val="32"/>
        </w:rPr>
      </w:pPr>
      <w:r>
        <w:rPr>
          <w:rFonts w:ascii="仿宋_GB2312" w:eastAsia="仿宋_GB2312"/>
          <w:color w:val="000000"/>
          <w:sz w:val="32"/>
          <w:szCs w:val="32"/>
        </w:rPr>
        <w:t>3.</w:t>
      </w:r>
      <w:r>
        <w:rPr>
          <w:rFonts w:hint="eastAsia" w:ascii="仿宋_GB2312" w:eastAsia="仿宋_GB2312"/>
          <w:color w:val="000000"/>
          <w:sz w:val="32"/>
          <w:szCs w:val="32"/>
        </w:rPr>
        <w:t>C13时花更换次数</w:t>
      </w:r>
    </w:p>
    <w:p>
      <w:pPr>
        <w:spacing w:line="360" w:lineRule="auto"/>
        <w:ind w:firstLine="648"/>
        <w:rPr>
          <w:rFonts w:ascii="仿宋_GB2312" w:eastAsia="仿宋_GB2312"/>
          <w:color w:val="000000"/>
          <w:sz w:val="32"/>
          <w:szCs w:val="32"/>
        </w:rPr>
      </w:pPr>
      <w:r>
        <w:rPr>
          <w:rFonts w:hint="eastAsia" w:ascii="仿宋_GB2312" w:eastAsia="仿宋_GB2312"/>
          <w:color w:val="000000"/>
          <w:sz w:val="32"/>
          <w:szCs w:val="32"/>
        </w:rPr>
        <w:t>该指标分值为</w:t>
      </w:r>
      <w:r>
        <w:rPr>
          <w:rFonts w:ascii="仿宋_GB2312" w:eastAsia="仿宋_GB2312"/>
          <w:color w:val="000000"/>
          <w:sz w:val="32"/>
          <w:szCs w:val="32"/>
        </w:rPr>
        <w:t>4</w:t>
      </w:r>
      <w:r>
        <w:rPr>
          <w:rFonts w:hint="eastAsia" w:ascii="仿宋_GB2312" w:eastAsia="仿宋_GB2312"/>
          <w:color w:val="000000"/>
          <w:sz w:val="32"/>
          <w:szCs w:val="32"/>
        </w:rPr>
        <w:t>分。年度设置绩效指标为时花更换次数≥</w:t>
      </w:r>
      <w:r>
        <w:rPr>
          <w:rFonts w:ascii="仿宋_GB2312" w:eastAsia="仿宋_GB2312"/>
          <w:color w:val="000000"/>
          <w:sz w:val="32"/>
          <w:szCs w:val="32"/>
        </w:rPr>
        <w:t>4</w:t>
      </w:r>
      <w:r>
        <w:rPr>
          <w:rFonts w:hint="eastAsia" w:ascii="仿宋_GB2312" w:eastAsia="仿宋_GB2312"/>
          <w:color w:val="000000"/>
          <w:sz w:val="32"/>
          <w:szCs w:val="32"/>
        </w:rPr>
        <w:t>次，全年实际采购</w:t>
      </w:r>
      <w:r>
        <w:rPr>
          <w:rFonts w:ascii="仿宋_GB2312" w:eastAsia="仿宋_GB2312"/>
          <w:color w:val="000000"/>
          <w:sz w:val="32"/>
          <w:szCs w:val="32"/>
        </w:rPr>
        <w:t>5</w:t>
      </w:r>
      <w:r>
        <w:rPr>
          <w:rFonts w:hint="eastAsia" w:ascii="仿宋_GB2312" w:eastAsia="仿宋_GB2312"/>
          <w:color w:val="000000"/>
          <w:sz w:val="32"/>
          <w:szCs w:val="32"/>
        </w:rPr>
        <w:t>批次。根据评价标准该指标得满分</w:t>
      </w:r>
      <w:r>
        <w:rPr>
          <w:rFonts w:ascii="仿宋_GB2312" w:eastAsia="仿宋_GB2312"/>
          <w:color w:val="000000"/>
          <w:sz w:val="32"/>
          <w:szCs w:val="32"/>
        </w:rPr>
        <w:t>4</w:t>
      </w:r>
      <w:r>
        <w:rPr>
          <w:rFonts w:hint="eastAsia" w:ascii="仿宋_GB2312" w:eastAsia="仿宋_GB2312"/>
          <w:color w:val="000000"/>
          <w:sz w:val="32"/>
          <w:szCs w:val="32"/>
        </w:rPr>
        <w:t>分。</w:t>
      </w:r>
    </w:p>
    <w:p>
      <w:pPr>
        <w:spacing w:line="360" w:lineRule="auto"/>
        <w:ind w:firstLine="648"/>
        <w:rPr>
          <w:rFonts w:ascii="仿宋_GB2312" w:eastAsia="仿宋_GB2312"/>
          <w:color w:val="000000"/>
          <w:sz w:val="32"/>
          <w:szCs w:val="32"/>
        </w:rPr>
      </w:pPr>
      <w:r>
        <w:rPr>
          <w:rFonts w:ascii="仿宋_GB2312" w:eastAsia="仿宋_GB2312"/>
          <w:color w:val="000000"/>
          <w:sz w:val="32"/>
          <w:szCs w:val="32"/>
        </w:rPr>
        <w:t>4</w:t>
      </w:r>
      <w:r>
        <w:rPr>
          <w:rFonts w:hint="eastAsia" w:ascii="仿宋_GB2312" w:eastAsia="仿宋_GB2312"/>
          <w:color w:val="000000"/>
          <w:sz w:val="32"/>
          <w:szCs w:val="32"/>
        </w:rPr>
        <w:t>.C1</w:t>
      </w:r>
      <w:r>
        <w:rPr>
          <w:rFonts w:ascii="仿宋_GB2312" w:eastAsia="仿宋_GB2312"/>
          <w:color w:val="000000"/>
          <w:sz w:val="32"/>
          <w:szCs w:val="32"/>
        </w:rPr>
        <w:t>4</w:t>
      </w:r>
      <w:r>
        <w:rPr>
          <w:rFonts w:hint="eastAsia" w:ascii="仿宋_GB2312" w:eastAsia="仿宋_GB2312"/>
          <w:color w:val="000000"/>
          <w:sz w:val="32"/>
          <w:szCs w:val="32"/>
        </w:rPr>
        <w:t>摆放路段完成情况</w:t>
      </w:r>
    </w:p>
    <w:p>
      <w:pPr>
        <w:spacing w:line="360" w:lineRule="auto"/>
        <w:ind w:firstLine="648"/>
        <w:rPr>
          <w:rFonts w:ascii="仿宋_GB2312" w:eastAsia="仿宋_GB2312"/>
          <w:color w:val="000000"/>
          <w:sz w:val="32"/>
          <w:szCs w:val="32"/>
        </w:rPr>
      </w:pPr>
      <w:r>
        <w:rPr>
          <w:rFonts w:hint="eastAsia" w:ascii="仿宋_GB2312" w:eastAsia="仿宋_GB2312"/>
          <w:color w:val="000000"/>
          <w:sz w:val="32"/>
          <w:szCs w:val="32"/>
        </w:rPr>
        <w:t>该指标分值为</w:t>
      </w:r>
      <w:r>
        <w:rPr>
          <w:rFonts w:ascii="仿宋_GB2312" w:eastAsia="仿宋_GB2312"/>
          <w:color w:val="000000"/>
          <w:sz w:val="32"/>
          <w:szCs w:val="32"/>
        </w:rPr>
        <w:t>4</w:t>
      </w:r>
      <w:r>
        <w:rPr>
          <w:rFonts w:hint="eastAsia" w:ascii="仿宋_GB2312" w:eastAsia="仿宋_GB2312"/>
          <w:color w:val="000000"/>
          <w:sz w:val="32"/>
          <w:szCs w:val="32"/>
        </w:rPr>
        <w:t>分。根据招标文件和政府采购合同约定，时花采购主要供应红塔湾旅游公路、福辉路、人民广场、门户廊道（石泉路-西环路-南洋路服装城）、明珠广场、狮标、石锦路、石永二路等路段共</w:t>
      </w:r>
      <w:r>
        <w:rPr>
          <w:rFonts w:ascii="仿宋_GB2312" w:eastAsia="仿宋_GB2312"/>
          <w:color w:val="000000"/>
          <w:sz w:val="32"/>
          <w:szCs w:val="32"/>
        </w:rPr>
        <w:t>5</w:t>
      </w:r>
      <w:r>
        <w:rPr>
          <w:rFonts w:hint="eastAsia" w:ascii="仿宋_GB2312" w:eastAsia="仿宋_GB2312"/>
          <w:color w:val="000000"/>
          <w:sz w:val="32"/>
          <w:szCs w:val="32"/>
        </w:rPr>
        <w:t>条道路、3个固定点位和市区主次干道。实际完成</w:t>
      </w:r>
      <w:r>
        <w:rPr>
          <w:rFonts w:ascii="仿宋_GB2312" w:eastAsia="仿宋_GB2312"/>
          <w:color w:val="000000"/>
          <w:sz w:val="32"/>
          <w:szCs w:val="32"/>
        </w:rPr>
        <w:t>7</w:t>
      </w:r>
      <w:r>
        <w:rPr>
          <w:rFonts w:hint="eastAsia" w:ascii="仿宋_GB2312" w:eastAsia="仿宋_GB2312"/>
          <w:color w:val="000000"/>
          <w:sz w:val="32"/>
          <w:szCs w:val="32"/>
        </w:rPr>
        <w:t>条道路、</w:t>
      </w:r>
      <w:r>
        <w:rPr>
          <w:rFonts w:ascii="仿宋_GB2312" w:eastAsia="仿宋_GB2312"/>
          <w:color w:val="000000"/>
          <w:sz w:val="32"/>
          <w:szCs w:val="32"/>
        </w:rPr>
        <w:t>7</w:t>
      </w:r>
      <w:r>
        <w:rPr>
          <w:rFonts w:hint="eastAsia" w:ascii="仿宋_GB2312" w:eastAsia="仿宋_GB2312"/>
          <w:color w:val="000000"/>
          <w:sz w:val="32"/>
          <w:szCs w:val="32"/>
        </w:rPr>
        <w:t>个固定点位的时花采购，</w:t>
      </w:r>
      <w:bookmarkStart w:id="27" w:name="_Hlk142058159"/>
      <w:r>
        <w:rPr>
          <w:rFonts w:hint="eastAsia" w:ascii="仿宋_GB2312" w:eastAsia="仿宋_GB2312"/>
          <w:color w:val="000000"/>
          <w:sz w:val="32"/>
          <w:szCs w:val="32"/>
        </w:rPr>
        <w:t>增加的道路或点位分别是学府路与宝岛路交叉口、宝盖山、花海谷公园、鸳鸯池公园、石狮大道、锦尚外线</w:t>
      </w:r>
      <w:bookmarkEnd w:id="27"/>
      <w:r>
        <w:rPr>
          <w:rFonts w:hint="eastAsia" w:ascii="仿宋_GB2312" w:eastAsia="仿宋_GB2312"/>
          <w:color w:val="000000"/>
          <w:sz w:val="32"/>
          <w:szCs w:val="32"/>
        </w:rPr>
        <w:t>。但是锦尚外线相对偏僻，人流较少；石狮大道主要以车流为主，休闲、停留的人员少，增加的时花摆放道路增加了财政支出，效果不明显。根据评价标准该指标扣分2分，得分为2分。</w:t>
      </w:r>
    </w:p>
    <w:p>
      <w:pPr>
        <w:spacing w:line="360" w:lineRule="auto"/>
        <w:ind w:firstLine="648"/>
        <w:rPr>
          <w:rFonts w:ascii="仿宋_GB2312" w:eastAsia="仿宋_GB2312"/>
          <w:color w:val="000000"/>
          <w:sz w:val="32"/>
          <w:szCs w:val="32"/>
        </w:rPr>
      </w:pPr>
      <w:r>
        <w:rPr>
          <w:rFonts w:ascii="仿宋_GB2312" w:eastAsia="仿宋_GB2312"/>
          <w:color w:val="000000"/>
          <w:sz w:val="32"/>
          <w:szCs w:val="32"/>
        </w:rPr>
        <w:t>5.</w:t>
      </w:r>
      <w:r>
        <w:t xml:space="preserve"> </w:t>
      </w:r>
      <w:r>
        <w:rPr>
          <w:rFonts w:ascii="仿宋_GB2312" w:eastAsia="仿宋_GB2312"/>
          <w:color w:val="000000"/>
          <w:sz w:val="32"/>
          <w:szCs w:val="32"/>
        </w:rPr>
        <w:t>C21</w:t>
      </w:r>
      <w:r>
        <w:rPr>
          <w:rFonts w:hint="eastAsia" w:ascii="仿宋_GB2312" w:eastAsia="仿宋_GB2312"/>
          <w:color w:val="000000"/>
          <w:sz w:val="32"/>
          <w:szCs w:val="32"/>
        </w:rPr>
        <w:t>采购执行效率</w:t>
      </w:r>
    </w:p>
    <w:p>
      <w:pPr>
        <w:spacing w:line="360" w:lineRule="auto"/>
        <w:ind w:firstLine="648"/>
        <w:rPr>
          <w:rFonts w:ascii="仿宋_GB2312" w:eastAsia="仿宋_GB2312"/>
          <w:color w:val="000000"/>
          <w:sz w:val="32"/>
          <w:szCs w:val="32"/>
        </w:rPr>
      </w:pPr>
      <w:r>
        <w:rPr>
          <w:rFonts w:hint="eastAsia" w:ascii="仿宋_GB2312" w:eastAsia="仿宋_GB2312"/>
          <w:color w:val="000000"/>
          <w:sz w:val="32"/>
          <w:szCs w:val="32"/>
        </w:rPr>
        <w:t>该指标分值为4分。代理机构根据招标文件约定于</w:t>
      </w:r>
      <w:r>
        <w:rPr>
          <w:rFonts w:hint="eastAsia" w:ascii="仿宋_GB2312" w:eastAsia="仿宋_GB2312"/>
          <w:sz w:val="32"/>
          <w:szCs w:val="32"/>
        </w:rPr>
        <w:t>2021年11月17日上午9点3</w:t>
      </w:r>
      <w:r>
        <w:rPr>
          <w:rFonts w:ascii="仿宋_GB2312" w:eastAsia="仿宋_GB2312"/>
          <w:sz w:val="32"/>
          <w:szCs w:val="32"/>
        </w:rPr>
        <w:t>0</w:t>
      </w:r>
      <w:r>
        <w:rPr>
          <w:rFonts w:hint="eastAsia" w:ascii="仿宋_GB2312" w:eastAsia="仿宋_GB2312"/>
          <w:sz w:val="32"/>
          <w:szCs w:val="32"/>
        </w:rPr>
        <w:t>分开标。有福建省文勋建筑工程有限公司、泉州市绿意园林工程有限公司、泉州市万鲤花木有限公司、泉州森活园林绿化工程有限公司、厦门市清伊亭园林景观工程、耀华园林股份有限公司6家公司参与投标，其中福建省文勋建筑工程有限公司资格审查不合格。经过5位评委评审，根据综合评分法最终确定泉州森活园林绿化工程有限公司为中标供应商，泉州森活园林绿化工程有限公司得分9</w:t>
      </w:r>
      <w:r>
        <w:rPr>
          <w:rFonts w:ascii="仿宋_GB2312" w:eastAsia="仿宋_GB2312"/>
          <w:sz w:val="32"/>
          <w:szCs w:val="32"/>
        </w:rPr>
        <w:t>6</w:t>
      </w:r>
      <w:r>
        <w:rPr>
          <w:rFonts w:hint="eastAsia" w:ascii="仿宋_GB2312" w:eastAsia="仿宋_GB2312"/>
          <w:sz w:val="32"/>
          <w:szCs w:val="32"/>
        </w:rPr>
        <w:t>分，中标单价为0.85元/株，中标金额为488.75万元。代理机构于当日出具石狮市政府采购中标通知书。市园林环卫中心于2021年12月10日与中标单位签订政府采购合同，并于当日上网公示。开标、评标、政府采购合同签订及公示时间等均符合《中华人民共和国政府采购法》《中华人民共和国政府采购法实施条例》的相关规定。根据评价标准该指标得满分4分。</w:t>
      </w:r>
    </w:p>
    <w:p>
      <w:pPr>
        <w:spacing w:line="360" w:lineRule="auto"/>
        <w:ind w:firstLine="648"/>
        <w:rPr>
          <w:rFonts w:ascii="仿宋_GB2312" w:eastAsia="仿宋_GB2312"/>
          <w:color w:val="000000"/>
          <w:sz w:val="32"/>
          <w:szCs w:val="32"/>
        </w:rPr>
      </w:pPr>
      <w:r>
        <w:rPr>
          <w:rFonts w:ascii="仿宋_GB2312" w:eastAsia="仿宋_GB2312"/>
          <w:color w:val="000000"/>
          <w:sz w:val="32"/>
          <w:szCs w:val="32"/>
        </w:rPr>
        <w:t>6</w:t>
      </w:r>
      <w:r>
        <w:rPr>
          <w:rFonts w:hint="eastAsia" w:ascii="仿宋_GB2312" w:eastAsia="仿宋_GB2312"/>
          <w:color w:val="000000"/>
          <w:sz w:val="32"/>
          <w:szCs w:val="32"/>
        </w:rPr>
        <w:t>.C2</w:t>
      </w:r>
      <w:r>
        <w:rPr>
          <w:rFonts w:ascii="仿宋_GB2312" w:eastAsia="仿宋_GB2312"/>
          <w:color w:val="000000"/>
          <w:sz w:val="32"/>
          <w:szCs w:val="32"/>
        </w:rPr>
        <w:t>2</w:t>
      </w:r>
      <w:r>
        <w:rPr>
          <w:rFonts w:hint="eastAsia" w:ascii="仿宋_GB2312" w:eastAsia="仿宋_GB2312"/>
          <w:color w:val="000000"/>
          <w:sz w:val="32"/>
          <w:szCs w:val="32"/>
        </w:rPr>
        <w:t>合同履约情况</w:t>
      </w:r>
    </w:p>
    <w:p>
      <w:pPr>
        <w:spacing w:line="360" w:lineRule="auto"/>
        <w:ind w:firstLine="648"/>
        <w:rPr>
          <w:rFonts w:ascii="仿宋_GB2312" w:eastAsia="仿宋_GB2312"/>
          <w:color w:val="000000"/>
          <w:sz w:val="32"/>
          <w:szCs w:val="32"/>
        </w:rPr>
      </w:pPr>
      <w:r>
        <w:rPr>
          <w:rFonts w:hint="eastAsia" w:ascii="仿宋_GB2312" w:eastAsia="仿宋_GB2312"/>
          <w:color w:val="000000"/>
          <w:sz w:val="32"/>
          <w:szCs w:val="32"/>
        </w:rPr>
        <w:t>该指标分值为4分。我们抽看了4个批次的验收意见单，验收单上有验收日期、验收批次、采购依据、验收意见，验收人员、科室负责人、领导分别在验收意见单上签字，最后单位盖章。验收单附采购清单，详细记录了当批验收花卉的品种、规格、数量、种植地点。验收记录完整、规范。</w:t>
      </w:r>
    </w:p>
    <w:p>
      <w:pPr>
        <w:spacing w:line="360" w:lineRule="auto"/>
        <w:ind w:firstLine="648"/>
        <w:rPr>
          <w:rFonts w:ascii="仿宋_GB2312" w:eastAsia="仿宋_GB2312"/>
          <w:color w:val="000000"/>
          <w:sz w:val="32"/>
          <w:szCs w:val="32"/>
        </w:rPr>
      </w:pPr>
      <w:r>
        <w:rPr>
          <w:rFonts w:hint="eastAsia" w:ascii="仿宋_GB2312" w:eastAsia="仿宋_GB2312"/>
          <w:color w:val="000000"/>
          <w:sz w:val="32"/>
          <w:szCs w:val="32"/>
        </w:rPr>
        <w:t>招标文件和采购合同约定款项支付方式为2期次：第一期付款按各期次种植安排的实际供货数量结算，并按实际结算金额的6</w:t>
      </w:r>
      <w:r>
        <w:rPr>
          <w:rFonts w:ascii="仿宋_GB2312" w:eastAsia="仿宋_GB2312"/>
          <w:color w:val="000000"/>
          <w:sz w:val="32"/>
          <w:szCs w:val="32"/>
        </w:rPr>
        <w:t>0</w:t>
      </w:r>
      <w:r>
        <w:rPr>
          <w:rFonts w:hint="eastAsia" w:ascii="仿宋_GB2312" w:eastAsia="仿宋_GB2312"/>
          <w:color w:val="000000"/>
          <w:sz w:val="32"/>
          <w:szCs w:val="32"/>
        </w:rPr>
        <w:t>%支付。具体为供应完成后15个日历日内，中标人向采购人递交申报结算的相关材料（申报结算材料审核后有不完整的，中标人须在接到通知之日起三个日历日内将材料补充完整），申报结算材料完整后，待财政资金到位后支付；第二期付款按每次种植季，种植30天后花期验收合格后付清苗木款，支付比例为40%。实际工作中，项目单位一次性将第一批次1</w:t>
      </w:r>
      <w:r>
        <w:rPr>
          <w:rFonts w:ascii="仿宋_GB2312" w:eastAsia="仿宋_GB2312"/>
          <w:color w:val="000000"/>
          <w:sz w:val="32"/>
          <w:szCs w:val="32"/>
        </w:rPr>
        <w:t>00</w:t>
      </w:r>
      <w:r>
        <w:rPr>
          <w:rFonts w:hint="eastAsia" w:ascii="仿宋_GB2312" w:eastAsia="仿宋_GB2312"/>
          <w:color w:val="000000"/>
          <w:sz w:val="32"/>
          <w:szCs w:val="32"/>
        </w:rPr>
        <w:t>%的苗木款支付给供应商，与合同约定的付款方式不符。根据评价标准该指标扣分2分，得分为2分。</w:t>
      </w:r>
    </w:p>
    <w:p>
      <w:pPr>
        <w:spacing w:line="360" w:lineRule="auto"/>
        <w:ind w:firstLine="648"/>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7.</w:t>
      </w:r>
      <w:r>
        <w:rPr>
          <w:rFonts w:hint="eastAsia"/>
        </w:rPr>
        <w:t xml:space="preserve"> </w:t>
      </w:r>
      <w:r>
        <w:rPr>
          <w:rFonts w:hint="eastAsia" w:ascii="仿宋_GB2312" w:eastAsia="仿宋_GB2312"/>
          <w:color w:val="000000" w:themeColor="text1"/>
          <w:sz w:val="32"/>
          <w:szCs w:val="32"/>
          <w14:textFill>
            <w14:solidFill>
              <w14:schemeClr w14:val="tx1"/>
            </w14:solidFill>
          </w14:textFill>
        </w:rPr>
        <w:t>C23项目执行过程管理情况</w:t>
      </w:r>
    </w:p>
    <w:p>
      <w:pPr>
        <w:spacing w:line="360" w:lineRule="auto"/>
        <w:ind w:firstLine="648"/>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该指标分值为4分。市园林环卫中心在政府采购，时花供应数量、批次，验收方面的资料完整。但是在采购过程中，遇到不符合要求的时花直接现场退回，要求供应商重新提供符合规格标准的时花，采购退回过程未进行文字记录，不利于对供应商的考评。根据评价标准该指标扣分2分，得分为2分。</w:t>
      </w:r>
    </w:p>
    <w:p>
      <w:pPr>
        <w:spacing w:line="360" w:lineRule="auto"/>
        <w:ind w:firstLine="648"/>
        <w:rPr>
          <w:rFonts w:ascii="仿宋_GB2312" w:eastAsia="仿宋_GB2312"/>
          <w:color w:val="000000" w:themeColor="text1"/>
          <w:sz w:val="32"/>
          <w:szCs w:val="32"/>
          <w14:textFill>
            <w14:solidFill>
              <w14:schemeClr w14:val="tx1"/>
            </w14:solidFill>
          </w14:textFill>
        </w:rPr>
      </w:pPr>
      <w:r>
        <w:rPr>
          <w:rFonts w:ascii="仿宋_GB2312" w:eastAsia="仿宋_GB2312"/>
          <w:color w:val="000000" w:themeColor="text1"/>
          <w:sz w:val="32"/>
          <w:szCs w:val="32"/>
          <w14:textFill>
            <w14:solidFill>
              <w14:schemeClr w14:val="tx1"/>
            </w14:solidFill>
          </w14:textFill>
        </w:rPr>
        <w:t>8.</w:t>
      </w:r>
      <w:r>
        <w:rPr>
          <w:rFonts w:hint="eastAsia" w:ascii="仿宋_GB2312" w:eastAsia="仿宋_GB2312"/>
          <w:color w:val="000000" w:themeColor="text1"/>
          <w:sz w:val="32"/>
          <w:szCs w:val="32"/>
          <w14:textFill>
            <w14:solidFill>
              <w14:schemeClr w14:val="tx1"/>
            </w14:solidFill>
          </w14:textFill>
        </w:rPr>
        <w:t>C2</w:t>
      </w:r>
      <w:r>
        <w:rPr>
          <w:rFonts w:ascii="仿宋_GB2312" w:eastAsia="仿宋_GB2312"/>
          <w:color w:val="000000" w:themeColor="text1"/>
          <w:sz w:val="32"/>
          <w:szCs w:val="32"/>
          <w14:textFill>
            <w14:solidFill>
              <w14:schemeClr w14:val="tx1"/>
            </w14:solidFill>
          </w14:textFill>
        </w:rPr>
        <w:t>4</w:t>
      </w:r>
      <w:r>
        <w:rPr>
          <w:rFonts w:hint="eastAsia" w:ascii="仿宋_GB2312" w:eastAsia="仿宋_GB2312"/>
          <w:color w:val="000000" w:themeColor="text1"/>
          <w:sz w:val="32"/>
          <w:szCs w:val="32"/>
          <w14:textFill>
            <w14:solidFill>
              <w14:schemeClr w14:val="tx1"/>
            </w14:solidFill>
          </w14:textFill>
        </w:rPr>
        <w:t>供应商质量</w:t>
      </w:r>
    </w:p>
    <w:p>
      <w:pPr>
        <w:spacing w:line="360" w:lineRule="auto"/>
        <w:ind w:firstLine="648"/>
        <w:rPr>
          <w:rFonts w:ascii="仿宋_GB2312" w:eastAsia="仿宋_GB2312"/>
          <w:color w:val="000000" w:themeColor="text1"/>
          <w:sz w:val="32"/>
          <w:szCs w:val="32"/>
          <w14:textFill>
            <w14:solidFill>
              <w14:schemeClr w14:val="tx1"/>
            </w14:solidFill>
          </w14:textFill>
        </w:rPr>
      </w:pPr>
      <w:r>
        <w:rPr>
          <w:rFonts w:hint="eastAsia" w:ascii="仿宋_GB2312" w:eastAsia="仿宋_GB2312"/>
          <w:color w:val="000000" w:themeColor="text1"/>
          <w:sz w:val="32"/>
          <w:szCs w:val="32"/>
          <w14:textFill>
            <w14:solidFill>
              <w14:schemeClr w14:val="tx1"/>
            </w14:solidFill>
          </w14:textFill>
        </w:rPr>
        <w:t>该指标分值为4分。供应商能按时根据项目单位的通知供应花卉，遇到不符合项目单位要</w:t>
      </w:r>
      <w:r>
        <w:rPr>
          <w:rFonts w:hint="eastAsia" w:ascii="仿宋_GB2312" w:hAnsi="微软雅黑" w:eastAsia="仿宋_GB2312" w:cs="微软雅黑"/>
          <w:color w:val="000000" w:themeColor="text1"/>
          <w:sz w:val="32"/>
          <w:szCs w:val="32"/>
          <w14:textFill>
            <w14:solidFill>
              <w14:schemeClr w14:val="tx1"/>
            </w14:solidFill>
          </w14:textFill>
        </w:rPr>
        <w:t>求的时花</w:t>
      </w:r>
      <w:r>
        <w:rPr>
          <w:rFonts w:hint="eastAsia" w:ascii="仿宋_GB2312" w:eastAsia="仿宋_GB2312"/>
          <w:color w:val="000000" w:themeColor="text1"/>
          <w:sz w:val="32"/>
          <w:szCs w:val="32"/>
          <w14:textFill>
            <w14:solidFill>
              <w14:schemeClr w14:val="tx1"/>
            </w14:solidFill>
          </w14:textFill>
        </w:rPr>
        <w:t>及时收回重新供应，满足了项目要求；供应商供应花卉后会派人进行现场查看，提供技术指导服务，基本满足了招标文件和政府采购合同的约定。根据评价标准该指标得满分4分。</w:t>
      </w:r>
    </w:p>
    <w:p>
      <w:pPr>
        <w:spacing w:line="360" w:lineRule="auto"/>
        <w:ind w:firstLine="648"/>
        <w:rPr>
          <w:rFonts w:ascii="仿宋_GB2312" w:eastAsia="仿宋_GB2312"/>
          <w:color w:val="000000" w:themeColor="text1"/>
          <w:sz w:val="32"/>
          <w:szCs w:val="32"/>
          <w14:textFill>
            <w14:solidFill>
              <w14:schemeClr w14:val="tx1"/>
            </w14:solidFill>
          </w14:textFill>
        </w:rPr>
      </w:pPr>
      <w:r>
        <w:rPr>
          <w:rFonts w:ascii="仿宋_GB2312" w:eastAsia="仿宋_GB2312"/>
          <w:color w:val="000000" w:themeColor="text1"/>
          <w:sz w:val="32"/>
          <w:szCs w:val="32"/>
          <w14:textFill>
            <w14:solidFill>
              <w14:schemeClr w14:val="tx1"/>
            </w14:solidFill>
          </w14:textFill>
        </w:rPr>
        <w:t>9</w:t>
      </w:r>
      <w:r>
        <w:rPr>
          <w:rFonts w:hint="eastAsia" w:ascii="仿宋_GB2312" w:eastAsia="仿宋_GB2312"/>
          <w:color w:val="000000" w:themeColor="text1"/>
          <w:sz w:val="32"/>
          <w:szCs w:val="32"/>
          <w14:textFill>
            <w14:solidFill>
              <w14:schemeClr w14:val="tx1"/>
            </w14:solidFill>
          </w14:textFill>
        </w:rPr>
        <w:t>. C2</w:t>
      </w:r>
      <w:r>
        <w:rPr>
          <w:rFonts w:ascii="仿宋_GB2312" w:eastAsia="仿宋_GB2312"/>
          <w:color w:val="000000" w:themeColor="text1"/>
          <w:sz w:val="32"/>
          <w:szCs w:val="32"/>
          <w14:textFill>
            <w14:solidFill>
              <w14:schemeClr w14:val="tx1"/>
            </w14:solidFill>
          </w14:textFill>
        </w:rPr>
        <w:t>5</w:t>
      </w:r>
      <w:r>
        <w:rPr>
          <w:rFonts w:hint="eastAsia" w:ascii="仿宋_GB2312" w:eastAsia="仿宋_GB2312"/>
          <w:color w:val="000000" w:themeColor="text1"/>
          <w:sz w:val="32"/>
          <w:szCs w:val="32"/>
          <w14:textFill>
            <w14:solidFill>
              <w14:schemeClr w14:val="tx1"/>
            </w14:solidFill>
          </w14:textFill>
        </w:rPr>
        <w:t>采购品种</w:t>
      </w:r>
    </w:p>
    <w:p>
      <w:pPr>
        <w:spacing w:line="360" w:lineRule="auto"/>
        <w:ind w:firstLine="648"/>
        <w:rPr>
          <w:rFonts w:ascii="仿宋_GB2312" w:eastAsia="仿宋_GB2312"/>
          <w:color w:val="FF0000"/>
          <w:sz w:val="32"/>
          <w:szCs w:val="32"/>
        </w:rPr>
      </w:pPr>
      <w:r>
        <w:rPr>
          <w:rFonts w:hint="eastAsia" w:ascii="仿宋_GB2312" w:eastAsia="仿宋_GB2312"/>
          <w:color w:val="000000" w:themeColor="text1"/>
          <w:sz w:val="32"/>
          <w:szCs w:val="32"/>
          <w14:textFill>
            <w14:solidFill>
              <w14:schemeClr w14:val="tx1"/>
            </w14:solidFill>
          </w14:textFill>
        </w:rPr>
        <w:t>该指标分值为4分。招标文件约定了时花的规格，没有对时花品种、花色做出约定，招标内容不够明确、细致；采购合同也没有对时花品种、花色做出约定。根据评价标准该指标扣分2分，得分为</w:t>
      </w:r>
      <w:r>
        <w:rPr>
          <w:rFonts w:ascii="仿宋_GB2312" w:eastAsia="仿宋_GB2312"/>
          <w:color w:val="000000" w:themeColor="text1"/>
          <w:sz w:val="32"/>
          <w:szCs w:val="32"/>
          <w14:textFill>
            <w14:solidFill>
              <w14:schemeClr w14:val="tx1"/>
            </w14:solidFill>
          </w14:textFill>
        </w:rPr>
        <w:t>2</w:t>
      </w:r>
      <w:r>
        <w:rPr>
          <w:rFonts w:hint="eastAsia" w:ascii="仿宋_GB2312" w:eastAsia="仿宋_GB2312"/>
          <w:color w:val="000000" w:themeColor="text1"/>
          <w:sz w:val="32"/>
          <w:szCs w:val="32"/>
          <w14:textFill>
            <w14:solidFill>
              <w14:schemeClr w14:val="tx1"/>
            </w14:solidFill>
          </w14:textFill>
        </w:rPr>
        <w:t>分。</w:t>
      </w:r>
    </w:p>
    <w:p>
      <w:pPr>
        <w:spacing w:line="360" w:lineRule="auto"/>
        <w:ind w:firstLine="648"/>
        <w:rPr>
          <w:rFonts w:ascii="仿宋_GB2312" w:eastAsia="仿宋_GB2312"/>
          <w:color w:val="000000"/>
          <w:sz w:val="32"/>
          <w:szCs w:val="32"/>
        </w:rPr>
      </w:pPr>
      <w:r>
        <w:rPr>
          <w:rFonts w:ascii="仿宋_GB2312" w:eastAsia="仿宋_GB2312"/>
          <w:color w:val="000000"/>
          <w:sz w:val="32"/>
          <w:szCs w:val="32"/>
        </w:rPr>
        <w:t>10</w:t>
      </w:r>
      <w:r>
        <w:rPr>
          <w:rFonts w:hint="eastAsia" w:ascii="仿宋_GB2312" w:eastAsia="仿宋_GB2312"/>
          <w:color w:val="000000"/>
          <w:sz w:val="32"/>
          <w:szCs w:val="32"/>
        </w:rPr>
        <w:t>.C31采购及时率</w:t>
      </w:r>
    </w:p>
    <w:p>
      <w:pPr>
        <w:spacing w:line="360" w:lineRule="auto"/>
        <w:ind w:firstLine="648"/>
        <w:rPr>
          <w:rFonts w:ascii="仿宋_GB2312" w:eastAsia="仿宋_GB2312"/>
          <w:color w:val="000000"/>
          <w:sz w:val="32"/>
          <w:szCs w:val="32"/>
        </w:rPr>
      </w:pPr>
      <w:r>
        <w:rPr>
          <w:rFonts w:hint="eastAsia" w:ascii="仿宋_GB2312" w:eastAsia="仿宋_GB2312"/>
          <w:color w:val="000000"/>
          <w:sz w:val="32"/>
          <w:szCs w:val="32"/>
        </w:rPr>
        <w:t>该指标</w:t>
      </w:r>
      <w:r>
        <w:rPr>
          <w:rFonts w:ascii="仿宋_GB2312" w:eastAsia="仿宋_GB2312"/>
          <w:color w:val="000000"/>
          <w:sz w:val="32"/>
          <w:szCs w:val="32"/>
        </w:rPr>
        <w:t>分值为2</w:t>
      </w:r>
      <w:r>
        <w:rPr>
          <w:rFonts w:hint="eastAsia" w:ascii="仿宋_GB2312" w:eastAsia="仿宋_GB2312"/>
          <w:color w:val="000000"/>
          <w:sz w:val="32"/>
          <w:szCs w:val="32"/>
        </w:rPr>
        <w:t>分</w:t>
      </w:r>
      <w:r>
        <w:rPr>
          <w:rFonts w:ascii="仿宋_GB2312" w:eastAsia="仿宋_GB2312"/>
          <w:color w:val="000000"/>
          <w:sz w:val="32"/>
          <w:szCs w:val="32"/>
        </w:rPr>
        <w:t>。</w:t>
      </w:r>
      <w:r>
        <w:rPr>
          <w:rFonts w:hint="eastAsia" w:ascii="仿宋_GB2312" w:eastAsia="仿宋_GB2312"/>
          <w:color w:val="000000"/>
          <w:sz w:val="32"/>
          <w:szCs w:val="32"/>
        </w:rPr>
        <w:t>我们抽查供应商的销售清单和项目单位的验收意见单，根据单据上的送货日期、验收日期，了解到项目单位基本上每</w:t>
      </w:r>
      <w:r>
        <w:rPr>
          <w:rFonts w:ascii="仿宋_GB2312" w:eastAsia="仿宋_GB2312"/>
          <w:color w:val="000000"/>
          <w:sz w:val="32"/>
          <w:szCs w:val="32"/>
        </w:rPr>
        <w:t>2</w:t>
      </w:r>
      <w:r>
        <w:rPr>
          <w:rFonts w:hint="eastAsia" w:ascii="仿宋_GB2312" w:eastAsia="仿宋_GB2312"/>
          <w:color w:val="000000"/>
          <w:sz w:val="32"/>
          <w:szCs w:val="32"/>
        </w:rPr>
        <w:t>-</w:t>
      </w:r>
      <w:r>
        <w:rPr>
          <w:rFonts w:ascii="仿宋_GB2312" w:eastAsia="仿宋_GB2312"/>
          <w:color w:val="000000"/>
          <w:sz w:val="32"/>
          <w:szCs w:val="32"/>
        </w:rPr>
        <w:t>3</w:t>
      </w:r>
      <w:r>
        <w:rPr>
          <w:rFonts w:hint="eastAsia" w:ascii="仿宋_GB2312" w:eastAsia="仿宋_GB2312"/>
          <w:color w:val="000000"/>
          <w:sz w:val="32"/>
          <w:szCs w:val="32"/>
        </w:rPr>
        <w:t>月采购一次，符合时花一般2-3月花期的特点，时花采购更换及时。根据评价标准该指标得满分</w:t>
      </w:r>
      <w:r>
        <w:rPr>
          <w:rFonts w:ascii="仿宋_GB2312" w:eastAsia="仿宋_GB2312"/>
          <w:color w:val="000000"/>
          <w:sz w:val="32"/>
          <w:szCs w:val="32"/>
        </w:rPr>
        <w:t>2</w:t>
      </w:r>
      <w:r>
        <w:rPr>
          <w:rFonts w:hint="eastAsia" w:ascii="仿宋_GB2312" w:eastAsia="仿宋_GB2312"/>
          <w:color w:val="000000"/>
          <w:sz w:val="32"/>
          <w:szCs w:val="32"/>
        </w:rPr>
        <w:t>分。</w:t>
      </w:r>
    </w:p>
    <w:p>
      <w:pPr>
        <w:spacing w:line="360" w:lineRule="auto"/>
        <w:ind w:firstLine="648"/>
        <w:rPr>
          <w:rFonts w:ascii="仿宋_GB2312" w:eastAsia="仿宋_GB2312"/>
          <w:color w:val="000000"/>
          <w:sz w:val="32"/>
          <w:szCs w:val="32"/>
        </w:rPr>
      </w:pPr>
      <w:r>
        <w:rPr>
          <w:rFonts w:ascii="仿宋_GB2312" w:eastAsia="仿宋_GB2312"/>
          <w:color w:val="000000"/>
          <w:sz w:val="32"/>
          <w:szCs w:val="32"/>
        </w:rPr>
        <w:t>11.</w:t>
      </w:r>
      <w:r>
        <w:rPr>
          <w:rFonts w:hint="eastAsia" w:ascii="仿宋_GB2312" w:eastAsia="仿宋_GB2312"/>
          <w:color w:val="000000"/>
          <w:sz w:val="32"/>
          <w:szCs w:val="32"/>
        </w:rPr>
        <w:t>C41成本节约率</w:t>
      </w:r>
    </w:p>
    <w:p>
      <w:pPr>
        <w:spacing w:line="360" w:lineRule="auto"/>
        <w:ind w:firstLine="648"/>
        <w:rPr>
          <w:rFonts w:ascii="仿宋_GB2312" w:eastAsia="仿宋_GB2312"/>
          <w:color w:val="000000"/>
          <w:sz w:val="32"/>
          <w:szCs w:val="32"/>
        </w:rPr>
      </w:pPr>
      <w:r>
        <w:rPr>
          <w:rFonts w:hint="eastAsia" w:ascii="仿宋_GB2312" w:eastAsia="仿宋_GB2312"/>
          <w:color w:val="000000"/>
          <w:sz w:val="32"/>
          <w:szCs w:val="32"/>
        </w:rPr>
        <w:t>该指标分值为</w:t>
      </w:r>
      <w:r>
        <w:rPr>
          <w:rFonts w:ascii="仿宋_GB2312" w:eastAsia="仿宋_GB2312"/>
          <w:color w:val="000000"/>
          <w:sz w:val="32"/>
          <w:szCs w:val="32"/>
        </w:rPr>
        <w:t>2</w:t>
      </w:r>
      <w:r>
        <w:rPr>
          <w:rFonts w:hint="eastAsia" w:ascii="仿宋_GB2312" w:eastAsia="仿宋_GB2312"/>
          <w:color w:val="000000"/>
          <w:sz w:val="32"/>
          <w:szCs w:val="32"/>
        </w:rPr>
        <w:t>分。在项目实施之前，项目单位委托第三方公司进行询价,按询到的最低价1.2元/株申请预算资金，实际采购价格为0</w:t>
      </w:r>
      <w:r>
        <w:rPr>
          <w:rFonts w:ascii="仿宋_GB2312" w:eastAsia="仿宋_GB2312"/>
          <w:color w:val="000000"/>
          <w:sz w:val="32"/>
          <w:szCs w:val="32"/>
        </w:rPr>
        <w:t>.85</w:t>
      </w:r>
      <w:r>
        <w:rPr>
          <w:rFonts w:hint="eastAsia" w:ascii="仿宋_GB2312" w:eastAsia="仿宋_GB2312"/>
          <w:color w:val="000000"/>
          <w:sz w:val="32"/>
          <w:szCs w:val="32"/>
        </w:rPr>
        <w:t>元/株，成本节约率为2</w:t>
      </w:r>
      <w:r>
        <w:rPr>
          <w:rFonts w:ascii="仿宋_GB2312" w:eastAsia="仿宋_GB2312"/>
          <w:color w:val="000000"/>
          <w:sz w:val="32"/>
          <w:szCs w:val="32"/>
        </w:rPr>
        <w:t>9.17</w:t>
      </w:r>
      <w:r>
        <w:rPr>
          <w:rFonts w:hint="eastAsia" w:ascii="仿宋_GB2312" w:eastAsia="仿宋_GB2312"/>
          <w:color w:val="000000"/>
          <w:sz w:val="32"/>
          <w:szCs w:val="32"/>
        </w:rPr>
        <w:t>%。</w:t>
      </w:r>
    </w:p>
    <w:p>
      <w:pPr>
        <w:spacing w:line="360" w:lineRule="auto"/>
        <w:ind w:firstLine="646"/>
        <w:rPr>
          <w:rFonts w:ascii="仿宋_GB2312" w:eastAsia="仿宋_GB2312"/>
          <w:color w:val="000000"/>
          <w:sz w:val="32"/>
          <w:szCs w:val="32"/>
        </w:rPr>
      </w:pPr>
      <w:r>
        <w:rPr>
          <w:rFonts w:hint="eastAsia" w:ascii="仿宋_GB2312" w:eastAsia="仿宋_GB2312"/>
          <w:color w:val="000000"/>
          <w:sz w:val="32"/>
          <w:szCs w:val="32"/>
        </w:rPr>
        <w:t>评价小组通过福建省政府采购网查询到“妈祖文化特色小镇提升项目（湄洲岛景观绿化提升工程）-2023年重要节点时花采购项目”中标情况，了解到湄洲岛景观绿化提升工程项目时花规格为＞10cm*10cm，中标单价为</w:t>
      </w:r>
      <w:r>
        <w:rPr>
          <w:rFonts w:ascii="仿宋_GB2312" w:eastAsia="仿宋_GB2312"/>
          <w:color w:val="000000"/>
          <w:sz w:val="32"/>
          <w:szCs w:val="32"/>
        </w:rPr>
        <w:t>0.89</w:t>
      </w:r>
      <w:r>
        <w:rPr>
          <w:rFonts w:hint="eastAsia" w:ascii="仿宋_GB2312" w:eastAsia="仿宋_GB2312"/>
          <w:color w:val="000000"/>
          <w:sz w:val="32"/>
          <w:szCs w:val="32"/>
        </w:rPr>
        <w:t>元/株，而石狮市时花采购项目招标文件中对时花规格要求是高度1</w:t>
      </w:r>
      <w:r>
        <w:rPr>
          <w:rFonts w:ascii="仿宋_GB2312" w:eastAsia="仿宋_GB2312"/>
          <w:color w:val="000000"/>
          <w:sz w:val="32"/>
          <w:szCs w:val="32"/>
        </w:rPr>
        <w:t>5</w:t>
      </w:r>
      <w:r>
        <w:rPr>
          <w:rFonts w:hint="eastAsia" w:ascii="仿宋_GB2312" w:eastAsia="仿宋_GB2312"/>
          <w:color w:val="000000"/>
          <w:sz w:val="32"/>
          <w:szCs w:val="32"/>
        </w:rPr>
        <w:t>-</w:t>
      </w:r>
      <w:r>
        <w:rPr>
          <w:rFonts w:ascii="仿宋_GB2312" w:eastAsia="仿宋_GB2312"/>
          <w:color w:val="000000"/>
          <w:sz w:val="32"/>
          <w:szCs w:val="32"/>
        </w:rPr>
        <w:t>20</w:t>
      </w:r>
      <w:r>
        <w:t xml:space="preserve"> </w:t>
      </w:r>
      <w:r>
        <w:rPr>
          <w:rFonts w:ascii="仿宋_GB2312" w:eastAsia="仿宋_GB2312"/>
          <w:color w:val="000000"/>
          <w:sz w:val="32"/>
          <w:szCs w:val="32"/>
        </w:rPr>
        <w:t>cm</w:t>
      </w:r>
      <w:r>
        <w:rPr>
          <w:rFonts w:hint="eastAsia" w:ascii="仿宋_GB2312" w:eastAsia="仿宋_GB2312"/>
          <w:color w:val="000000"/>
          <w:sz w:val="32"/>
          <w:szCs w:val="32"/>
        </w:rPr>
        <w:t>，冠幅1</w:t>
      </w:r>
      <w:r>
        <w:rPr>
          <w:rFonts w:ascii="仿宋_GB2312" w:eastAsia="仿宋_GB2312"/>
          <w:color w:val="000000"/>
          <w:sz w:val="32"/>
          <w:szCs w:val="32"/>
        </w:rPr>
        <w:t>5cm</w:t>
      </w:r>
      <w:r>
        <w:rPr>
          <w:rFonts w:hint="eastAsia" w:ascii="仿宋_GB2312" w:eastAsia="仿宋_GB2312"/>
          <w:color w:val="000000"/>
          <w:sz w:val="32"/>
          <w:szCs w:val="32"/>
        </w:rPr>
        <w:t>，规格尺寸明显高于湄洲岛景观绿化提升工程，价格却更低。通过上述比较，评价小组认为，石狮市2</w:t>
      </w:r>
      <w:r>
        <w:rPr>
          <w:rFonts w:ascii="仿宋_GB2312" w:eastAsia="仿宋_GB2312"/>
          <w:color w:val="000000"/>
          <w:sz w:val="32"/>
          <w:szCs w:val="32"/>
        </w:rPr>
        <w:t>022</w:t>
      </w:r>
      <w:r>
        <w:rPr>
          <w:rFonts w:hint="eastAsia" w:ascii="仿宋_GB2312" w:eastAsia="仿宋_GB2312"/>
          <w:color w:val="000000"/>
          <w:sz w:val="32"/>
          <w:szCs w:val="32"/>
        </w:rPr>
        <w:t>年度时花采购项目采购成本节约有效。根据评价标准该指标得满分</w:t>
      </w:r>
      <w:r>
        <w:rPr>
          <w:rFonts w:ascii="仿宋_GB2312" w:eastAsia="仿宋_GB2312"/>
          <w:color w:val="000000"/>
          <w:sz w:val="32"/>
          <w:szCs w:val="32"/>
        </w:rPr>
        <w:t>2</w:t>
      </w:r>
      <w:r>
        <w:rPr>
          <w:rFonts w:hint="eastAsia" w:ascii="仿宋_GB2312" w:eastAsia="仿宋_GB2312"/>
          <w:color w:val="000000"/>
          <w:sz w:val="32"/>
          <w:szCs w:val="32"/>
        </w:rPr>
        <w:t>分。</w:t>
      </w:r>
    </w:p>
    <w:p>
      <w:pPr>
        <w:spacing w:line="360" w:lineRule="auto"/>
        <w:ind w:firstLine="648"/>
        <w:rPr>
          <w:rFonts w:ascii="仿宋_GB2312" w:eastAsia="仿宋_GB2312"/>
          <w:bCs/>
          <w:color w:val="000000"/>
          <w:sz w:val="32"/>
          <w:szCs w:val="32"/>
        </w:rPr>
      </w:pPr>
      <w:r>
        <w:rPr>
          <w:rFonts w:ascii="仿宋_GB2312" w:eastAsia="仿宋_GB2312"/>
          <w:bCs/>
          <w:color w:val="000000"/>
          <w:sz w:val="32"/>
          <w:szCs w:val="32"/>
        </w:rPr>
        <w:t>12</w:t>
      </w:r>
      <w:r>
        <w:rPr>
          <w:rFonts w:hint="eastAsia" w:ascii="仿宋_GB2312" w:eastAsia="仿宋_GB2312"/>
          <w:bCs/>
          <w:color w:val="000000"/>
          <w:sz w:val="32"/>
          <w:szCs w:val="32"/>
        </w:rPr>
        <w:t>.D11美化环境、提升生活品质的效果</w:t>
      </w:r>
    </w:p>
    <w:p>
      <w:pPr>
        <w:spacing w:line="360" w:lineRule="auto"/>
        <w:ind w:firstLine="648"/>
        <w:rPr>
          <w:rFonts w:ascii="仿宋_GB2312" w:eastAsia="仿宋_GB2312"/>
          <w:bCs/>
        </w:rPr>
      </w:pPr>
      <w:r>
        <w:rPr>
          <w:rFonts w:hint="eastAsia" w:ascii="仿宋_GB2312" w:eastAsia="仿宋_GB2312"/>
          <w:bCs/>
          <w:color w:val="000000"/>
          <w:sz w:val="32"/>
          <w:szCs w:val="32"/>
        </w:rPr>
        <w:t>该指标分值为</w:t>
      </w:r>
      <w:r>
        <w:rPr>
          <w:rFonts w:ascii="仿宋_GB2312" w:eastAsia="仿宋_GB2312"/>
          <w:bCs/>
          <w:color w:val="000000"/>
          <w:sz w:val="32"/>
          <w:szCs w:val="32"/>
        </w:rPr>
        <w:t>10</w:t>
      </w:r>
      <w:r>
        <w:rPr>
          <w:rFonts w:hint="eastAsia" w:ascii="仿宋_GB2312" w:eastAsia="仿宋_GB2312"/>
          <w:bCs/>
          <w:color w:val="000000"/>
          <w:sz w:val="32"/>
          <w:szCs w:val="32"/>
        </w:rPr>
        <w:t>分。在辖内主干道及重要景观节点布置立体花坛或者花境、花带有利于提高城市形象，提升城市品位，为市民打造宜居环境。该问题满意度问卷得分率为</w:t>
      </w:r>
      <w:r>
        <w:rPr>
          <w:rFonts w:ascii="仿宋_GB2312" w:eastAsia="仿宋_GB2312"/>
          <w:bCs/>
          <w:color w:val="000000"/>
          <w:sz w:val="32"/>
          <w:szCs w:val="32"/>
        </w:rPr>
        <w:t>97.31%</w:t>
      </w:r>
      <w:r>
        <w:rPr>
          <w:rFonts w:hint="eastAsia" w:ascii="仿宋_GB2312" w:eastAsia="仿宋_GB2312"/>
          <w:bCs/>
          <w:color w:val="000000"/>
          <w:sz w:val="32"/>
          <w:szCs w:val="32"/>
        </w:rPr>
        <w:t>，根据评价标准该指标扣分</w:t>
      </w:r>
      <w:r>
        <w:rPr>
          <w:rFonts w:ascii="仿宋_GB2312" w:eastAsia="仿宋_GB2312"/>
          <w:bCs/>
          <w:color w:val="000000"/>
          <w:sz w:val="32"/>
          <w:szCs w:val="32"/>
        </w:rPr>
        <w:t>0.75</w:t>
      </w:r>
      <w:r>
        <w:rPr>
          <w:rFonts w:hint="eastAsia" w:ascii="仿宋_GB2312" w:eastAsia="仿宋_GB2312"/>
          <w:bCs/>
          <w:color w:val="000000"/>
          <w:sz w:val="32"/>
          <w:szCs w:val="32"/>
        </w:rPr>
        <w:t>分，得分</w:t>
      </w:r>
      <w:r>
        <w:rPr>
          <w:rFonts w:ascii="仿宋_GB2312" w:eastAsia="仿宋_GB2312"/>
          <w:bCs/>
          <w:color w:val="000000"/>
          <w:sz w:val="32"/>
          <w:szCs w:val="32"/>
        </w:rPr>
        <w:t>9.25</w:t>
      </w:r>
      <w:r>
        <w:rPr>
          <w:rFonts w:hint="eastAsia" w:ascii="仿宋_GB2312" w:eastAsia="仿宋_GB2312"/>
          <w:bCs/>
          <w:color w:val="000000"/>
          <w:sz w:val="32"/>
          <w:szCs w:val="32"/>
        </w:rPr>
        <w:t>分。</w:t>
      </w:r>
    </w:p>
    <w:p>
      <w:pPr>
        <w:spacing w:line="360" w:lineRule="auto"/>
        <w:ind w:firstLine="648"/>
        <w:rPr>
          <w:rFonts w:ascii="仿宋_GB2312" w:eastAsia="仿宋_GB2312"/>
          <w:bCs/>
          <w:color w:val="000000"/>
          <w:sz w:val="32"/>
          <w:szCs w:val="32"/>
        </w:rPr>
      </w:pPr>
      <w:r>
        <w:rPr>
          <w:rFonts w:ascii="仿宋_GB2312" w:eastAsia="仿宋_GB2312"/>
          <w:bCs/>
          <w:color w:val="000000"/>
          <w:sz w:val="32"/>
          <w:szCs w:val="32"/>
        </w:rPr>
        <w:t>13.</w:t>
      </w:r>
      <w:r>
        <w:rPr>
          <w:rFonts w:hint="eastAsia" w:ascii="仿宋_GB2312" w:eastAsia="仿宋_GB2312"/>
          <w:bCs/>
          <w:color w:val="000000"/>
          <w:sz w:val="32"/>
          <w:szCs w:val="32"/>
        </w:rPr>
        <w:t>D12绿化景观面貌优良率</w:t>
      </w:r>
    </w:p>
    <w:p>
      <w:pPr>
        <w:spacing w:line="360" w:lineRule="auto"/>
        <w:ind w:firstLine="648"/>
        <w:rPr>
          <w:rFonts w:ascii="仿宋_GB2312" w:eastAsia="仿宋_GB2312"/>
          <w:color w:val="000000"/>
          <w:sz w:val="32"/>
          <w:szCs w:val="32"/>
        </w:rPr>
      </w:pPr>
      <w:r>
        <w:rPr>
          <w:rFonts w:hint="eastAsia" w:ascii="仿宋_GB2312" w:eastAsia="仿宋_GB2312"/>
          <w:color w:val="000000"/>
          <w:sz w:val="32"/>
          <w:szCs w:val="32"/>
        </w:rPr>
        <w:t>该指标分值为</w:t>
      </w:r>
      <w:r>
        <w:rPr>
          <w:rFonts w:ascii="仿宋_GB2312" w:eastAsia="仿宋_GB2312"/>
          <w:color w:val="000000"/>
          <w:sz w:val="32"/>
          <w:szCs w:val="32"/>
        </w:rPr>
        <w:t>5</w:t>
      </w:r>
      <w:r>
        <w:rPr>
          <w:rFonts w:hint="eastAsia" w:ascii="仿宋_GB2312" w:eastAsia="仿宋_GB2312"/>
          <w:color w:val="000000"/>
          <w:sz w:val="32"/>
          <w:szCs w:val="32"/>
        </w:rPr>
        <w:t>分。通过项目实施，美化石狮市效果明显，亮丽节日景观，有利改善周边生态环境，构建人与自然相和谐的生态环境，完成了绿化景观面貌优良率≥95%的年度绩效指标。根据评价标准该指标得满分</w:t>
      </w:r>
      <w:r>
        <w:rPr>
          <w:rFonts w:ascii="仿宋_GB2312" w:eastAsia="仿宋_GB2312"/>
          <w:color w:val="000000"/>
          <w:sz w:val="32"/>
          <w:szCs w:val="32"/>
        </w:rPr>
        <w:t>5</w:t>
      </w:r>
      <w:r>
        <w:rPr>
          <w:rFonts w:hint="eastAsia" w:ascii="仿宋_GB2312" w:eastAsia="仿宋_GB2312"/>
          <w:color w:val="000000"/>
          <w:sz w:val="32"/>
          <w:szCs w:val="32"/>
        </w:rPr>
        <w:t>分。</w:t>
      </w:r>
      <w:r>
        <w:rPr>
          <w:rFonts w:ascii="仿宋_GB2312" w:eastAsia="仿宋_GB2312"/>
          <w:color w:val="000000"/>
          <w:sz w:val="32"/>
          <w:szCs w:val="32"/>
        </w:rPr>
        <w:t xml:space="preserve"> </w:t>
      </w:r>
    </w:p>
    <w:p>
      <w:pPr>
        <w:spacing w:line="360" w:lineRule="auto"/>
        <w:ind w:firstLine="648"/>
        <w:rPr>
          <w:rFonts w:ascii="仿宋_GB2312" w:eastAsia="仿宋_GB2312"/>
          <w:color w:val="000000"/>
          <w:sz w:val="32"/>
          <w:szCs w:val="32"/>
        </w:rPr>
      </w:pPr>
      <w:r>
        <w:rPr>
          <w:rFonts w:ascii="仿宋_GB2312" w:eastAsia="仿宋_GB2312"/>
          <w:bCs/>
          <w:color w:val="000000"/>
          <w:sz w:val="32"/>
          <w:szCs w:val="32"/>
        </w:rPr>
        <w:t>14</w:t>
      </w:r>
      <w:r>
        <w:rPr>
          <w:rFonts w:hint="eastAsia" w:ascii="仿宋_GB2312" w:eastAsia="仿宋_GB2312"/>
          <w:bCs/>
          <w:color w:val="000000"/>
          <w:sz w:val="32"/>
          <w:szCs w:val="32"/>
        </w:rPr>
        <w:t>.D21市民、群众满意度</w:t>
      </w:r>
    </w:p>
    <w:p>
      <w:pPr>
        <w:spacing w:line="360" w:lineRule="auto"/>
        <w:ind w:firstLine="648"/>
        <w:rPr>
          <w:rFonts w:ascii="仿宋_GB2312" w:eastAsia="仿宋_GB2312"/>
          <w:color w:val="000000"/>
          <w:sz w:val="32"/>
          <w:szCs w:val="32"/>
        </w:rPr>
      </w:pPr>
      <w:r>
        <w:rPr>
          <w:rFonts w:hint="eastAsia" w:ascii="仿宋_GB2312" w:eastAsia="仿宋_GB2312"/>
          <w:color w:val="000000"/>
          <w:sz w:val="32"/>
          <w:szCs w:val="32"/>
        </w:rPr>
        <w:t>该指标分值为10分。</w:t>
      </w:r>
      <w:r>
        <w:rPr>
          <w:rFonts w:ascii="仿宋_GB2312" w:eastAsia="仿宋_GB2312"/>
          <w:color w:val="000000"/>
          <w:sz w:val="32"/>
          <w:szCs w:val="32"/>
        </w:rPr>
        <w:t>评价</w:t>
      </w:r>
      <w:r>
        <w:rPr>
          <w:rFonts w:hint="eastAsia" w:ascii="仿宋_GB2312" w:eastAsia="仿宋_GB2312"/>
          <w:color w:val="000000"/>
          <w:sz w:val="32"/>
          <w:szCs w:val="32"/>
        </w:rPr>
        <w:t>小组</w:t>
      </w:r>
      <w:r>
        <w:rPr>
          <w:rFonts w:ascii="仿宋_GB2312" w:eastAsia="仿宋_GB2312"/>
          <w:color w:val="000000"/>
          <w:sz w:val="32"/>
          <w:szCs w:val="32"/>
        </w:rPr>
        <w:t>通过</w:t>
      </w:r>
      <w:r>
        <w:rPr>
          <w:rFonts w:hint="eastAsia" w:ascii="仿宋_GB2312" w:eastAsia="仿宋_GB2312"/>
          <w:color w:val="000000"/>
          <w:sz w:val="32"/>
          <w:szCs w:val="32"/>
        </w:rPr>
        <w:t>电子问卷</w:t>
      </w:r>
      <w:r>
        <w:rPr>
          <w:rFonts w:ascii="仿宋_GB2312" w:eastAsia="仿宋_GB2312"/>
          <w:color w:val="000000"/>
          <w:sz w:val="32"/>
          <w:szCs w:val="32"/>
        </w:rPr>
        <w:t>的方式对</w:t>
      </w:r>
      <w:r>
        <w:rPr>
          <w:rFonts w:hint="eastAsia" w:ascii="仿宋_GB2312" w:eastAsia="仿宋_GB2312"/>
          <w:color w:val="000000"/>
          <w:sz w:val="32"/>
          <w:szCs w:val="32"/>
        </w:rPr>
        <w:t>石狮市市民、群众</w:t>
      </w:r>
      <w:r>
        <w:rPr>
          <w:rFonts w:ascii="仿宋_GB2312" w:eastAsia="仿宋_GB2312"/>
          <w:color w:val="000000"/>
          <w:sz w:val="32"/>
          <w:szCs w:val="32"/>
        </w:rPr>
        <w:t>进行了满意度问卷调查</w:t>
      </w:r>
      <w:r>
        <w:rPr>
          <w:rFonts w:hint="eastAsia" w:ascii="仿宋_GB2312" w:eastAsia="仿宋_GB2312"/>
          <w:color w:val="000000"/>
          <w:sz w:val="32"/>
          <w:szCs w:val="32"/>
        </w:rPr>
        <w:t>，所调查的市民、群众都看到过摆放的时花</w:t>
      </w:r>
      <w:r>
        <w:rPr>
          <w:rFonts w:ascii="仿宋_GB2312" w:eastAsia="仿宋_GB2312"/>
          <w:color w:val="000000"/>
          <w:sz w:val="32"/>
          <w:szCs w:val="32"/>
        </w:rPr>
        <w:t>。</w:t>
      </w:r>
      <w:r>
        <w:rPr>
          <w:rFonts w:hint="eastAsia" w:ascii="仿宋_GB2312" w:eastAsia="仿宋_GB2312"/>
          <w:color w:val="000000"/>
          <w:sz w:val="32"/>
          <w:szCs w:val="32"/>
        </w:rPr>
        <w:t>截</w:t>
      </w:r>
      <w:bookmarkStart w:id="49" w:name="_GoBack"/>
      <w:bookmarkEnd w:id="49"/>
      <w:r>
        <w:rPr>
          <w:rFonts w:hint="eastAsia" w:ascii="仿宋_GB2312" w:eastAsia="仿宋_GB2312"/>
          <w:color w:val="000000"/>
          <w:sz w:val="32"/>
          <w:szCs w:val="32"/>
        </w:rPr>
        <w:t>至2023年6月29日，评价小组共收到有效满意度调查问卷52份，综合满意度为96.88%，根据评价标准该指标得9分。统计结果见表4-</w:t>
      </w:r>
      <w:r>
        <w:rPr>
          <w:rFonts w:ascii="仿宋_GB2312" w:eastAsia="仿宋_GB2312"/>
          <w:color w:val="000000"/>
          <w:sz w:val="32"/>
          <w:szCs w:val="32"/>
        </w:rPr>
        <w:t>4</w:t>
      </w:r>
      <w:r>
        <w:rPr>
          <w:rFonts w:hint="eastAsia" w:ascii="仿宋_GB2312" w:eastAsia="仿宋_GB2312"/>
          <w:color w:val="000000"/>
          <w:sz w:val="32"/>
          <w:szCs w:val="32"/>
        </w:rPr>
        <w:t>：</w:t>
      </w:r>
    </w:p>
    <w:p>
      <w:pPr>
        <w:spacing w:line="560" w:lineRule="exact"/>
        <w:jc w:val="center"/>
        <w:rPr>
          <w:rFonts w:ascii="仿宋_GB2312" w:eastAsia="仿宋_GB2312"/>
          <w:color w:val="000000"/>
          <w:sz w:val="32"/>
          <w:szCs w:val="32"/>
        </w:rPr>
      </w:pPr>
      <w:r>
        <w:rPr>
          <w:rFonts w:hint="eastAsia" w:ascii="仿宋_GB2312" w:eastAsia="仿宋_GB2312"/>
          <w:color w:val="000000"/>
          <w:sz w:val="32"/>
          <w:szCs w:val="32"/>
        </w:rPr>
        <w:t>表4-4</w:t>
      </w:r>
      <w:r>
        <w:rPr>
          <w:rFonts w:ascii="仿宋_GB2312" w:eastAsia="仿宋_GB2312"/>
          <w:color w:val="000000"/>
          <w:sz w:val="32"/>
          <w:szCs w:val="32"/>
        </w:rPr>
        <w:t xml:space="preserve"> </w:t>
      </w:r>
      <w:r>
        <w:rPr>
          <w:rFonts w:hint="eastAsia" w:ascii="仿宋_GB2312" w:eastAsia="仿宋_GB2312"/>
          <w:color w:val="000000"/>
          <w:sz w:val="32"/>
          <w:szCs w:val="32"/>
        </w:rPr>
        <w:t>满意度调查问卷统计表</w:t>
      </w:r>
    </w:p>
    <w:tbl>
      <w:tblPr>
        <w:tblStyle w:val="12"/>
        <w:tblW w:w="8789" w:type="dxa"/>
        <w:tblInd w:w="-147" w:type="dxa"/>
        <w:tblLayout w:type="autofit"/>
        <w:tblCellMar>
          <w:top w:w="0" w:type="dxa"/>
          <w:left w:w="108" w:type="dxa"/>
          <w:bottom w:w="0" w:type="dxa"/>
          <w:right w:w="108" w:type="dxa"/>
        </w:tblCellMar>
      </w:tblPr>
      <w:tblGrid>
        <w:gridCol w:w="707"/>
        <w:gridCol w:w="6806"/>
        <w:gridCol w:w="1276"/>
      </w:tblGrid>
      <w:tr>
        <w:tblPrEx>
          <w:tblCellMar>
            <w:top w:w="0" w:type="dxa"/>
            <w:left w:w="108" w:type="dxa"/>
            <w:bottom w:w="0" w:type="dxa"/>
            <w:right w:w="108" w:type="dxa"/>
          </w:tblCellMar>
        </w:tblPrEx>
        <w:trPr>
          <w:trHeight w:val="567" w:hRule="atLeast"/>
          <w:tblHeader/>
        </w:trPr>
        <w:tc>
          <w:tcPr>
            <w:tcW w:w="707"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560" w:lineRule="exact"/>
              <w:jc w:val="left"/>
              <w:rPr>
                <w:rFonts w:ascii="宋体" w:hAnsi="宋体" w:cs="宋体"/>
                <w:color w:val="000000"/>
                <w:kern w:val="0"/>
                <w:sz w:val="24"/>
              </w:rPr>
            </w:pPr>
            <w:r>
              <w:rPr>
                <w:rFonts w:hint="eastAsia" w:ascii="宋体" w:hAnsi="宋体" w:cs="宋体"/>
                <w:color w:val="000000"/>
                <w:kern w:val="0"/>
                <w:sz w:val="24"/>
              </w:rPr>
              <w:t>序号</w:t>
            </w:r>
          </w:p>
        </w:tc>
        <w:tc>
          <w:tcPr>
            <w:tcW w:w="6806" w:type="dxa"/>
            <w:tcBorders>
              <w:top w:val="single" w:color="auto" w:sz="4" w:space="0"/>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问题内容</w:t>
            </w:r>
          </w:p>
        </w:tc>
        <w:tc>
          <w:tcPr>
            <w:tcW w:w="1276" w:type="dxa"/>
            <w:tcBorders>
              <w:top w:val="single" w:color="auto" w:sz="4" w:space="0"/>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得分情况</w:t>
            </w:r>
          </w:p>
        </w:tc>
      </w:tr>
      <w:tr>
        <w:tblPrEx>
          <w:tblCellMar>
            <w:top w:w="0" w:type="dxa"/>
            <w:left w:w="108" w:type="dxa"/>
            <w:bottom w:w="0" w:type="dxa"/>
            <w:right w:w="108" w:type="dxa"/>
          </w:tblCellMar>
        </w:tblPrEx>
        <w:trPr>
          <w:trHeight w:val="567" w:hRule="atLeast"/>
        </w:trPr>
        <w:tc>
          <w:tcPr>
            <w:tcW w:w="707"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1</w:t>
            </w:r>
          </w:p>
        </w:tc>
        <w:tc>
          <w:tcPr>
            <w:tcW w:w="6806" w:type="dxa"/>
            <w:tcBorders>
              <w:top w:val="nil"/>
              <w:left w:val="nil"/>
              <w:bottom w:val="single" w:color="auto" w:sz="4" w:space="0"/>
              <w:right w:val="single" w:color="auto" w:sz="4" w:space="0"/>
            </w:tcBorders>
            <w:shd w:val="clear" w:color="000000" w:fill="FFFFFF"/>
            <w:vAlign w:val="center"/>
          </w:tcPr>
          <w:p>
            <w:pPr>
              <w:widowControl/>
              <w:spacing w:line="560" w:lineRule="exact"/>
              <w:jc w:val="left"/>
              <w:rPr>
                <w:rFonts w:ascii="宋体" w:hAnsi="宋体" w:cs="宋体"/>
                <w:color w:val="000000"/>
                <w:kern w:val="0"/>
                <w:sz w:val="24"/>
              </w:rPr>
            </w:pPr>
            <w:r>
              <w:rPr>
                <w:rFonts w:hint="eastAsia" w:ascii="宋体" w:hAnsi="宋体" w:cs="宋体"/>
                <w:color w:val="000000"/>
                <w:kern w:val="0"/>
                <w:sz w:val="24"/>
              </w:rPr>
              <w:t>您对时花摆放的时间满意吗？</w:t>
            </w:r>
          </w:p>
        </w:tc>
        <w:tc>
          <w:tcPr>
            <w:tcW w:w="1276" w:type="dxa"/>
            <w:tcBorders>
              <w:top w:val="nil"/>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98.46%</w:t>
            </w:r>
          </w:p>
        </w:tc>
      </w:tr>
      <w:tr>
        <w:tblPrEx>
          <w:tblCellMar>
            <w:top w:w="0" w:type="dxa"/>
            <w:left w:w="108" w:type="dxa"/>
            <w:bottom w:w="0" w:type="dxa"/>
            <w:right w:w="108" w:type="dxa"/>
          </w:tblCellMar>
        </w:tblPrEx>
        <w:trPr>
          <w:trHeight w:val="567" w:hRule="atLeast"/>
        </w:trPr>
        <w:tc>
          <w:tcPr>
            <w:tcW w:w="707"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2</w:t>
            </w:r>
          </w:p>
        </w:tc>
        <w:tc>
          <w:tcPr>
            <w:tcW w:w="6806" w:type="dxa"/>
            <w:tcBorders>
              <w:top w:val="nil"/>
              <w:left w:val="nil"/>
              <w:bottom w:val="single" w:color="auto" w:sz="4" w:space="0"/>
              <w:right w:val="single" w:color="auto" w:sz="4" w:space="0"/>
            </w:tcBorders>
            <w:shd w:val="clear" w:color="000000" w:fill="F9F9F9"/>
            <w:vAlign w:val="center"/>
          </w:tcPr>
          <w:p>
            <w:pPr>
              <w:widowControl/>
              <w:spacing w:line="560" w:lineRule="exact"/>
              <w:jc w:val="left"/>
              <w:rPr>
                <w:rFonts w:ascii="宋体" w:hAnsi="宋体" w:cs="宋体"/>
                <w:color w:val="000000"/>
                <w:kern w:val="0"/>
                <w:sz w:val="24"/>
              </w:rPr>
            </w:pPr>
            <w:r>
              <w:rPr>
                <w:rFonts w:hint="eastAsia" w:ascii="宋体" w:hAnsi="宋体" w:cs="宋体"/>
                <w:color w:val="000000"/>
                <w:kern w:val="0"/>
                <w:sz w:val="24"/>
              </w:rPr>
              <w:t>您对时花摆放的路段或地点满意吗？</w:t>
            </w:r>
          </w:p>
        </w:tc>
        <w:tc>
          <w:tcPr>
            <w:tcW w:w="1276" w:type="dxa"/>
            <w:tcBorders>
              <w:top w:val="nil"/>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96.92%</w:t>
            </w:r>
          </w:p>
        </w:tc>
      </w:tr>
      <w:tr>
        <w:tblPrEx>
          <w:tblCellMar>
            <w:top w:w="0" w:type="dxa"/>
            <w:left w:w="108" w:type="dxa"/>
            <w:bottom w:w="0" w:type="dxa"/>
            <w:right w:w="108" w:type="dxa"/>
          </w:tblCellMar>
        </w:tblPrEx>
        <w:trPr>
          <w:trHeight w:val="567" w:hRule="atLeast"/>
        </w:trPr>
        <w:tc>
          <w:tcPr>
            <w:tcW w:w="707"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3</w:t>
            </w:r>
          </w:p>
        </w:tc>
        <w:tc>
          <w:tcPr>
            <w:tcW w:w="6806" w:type="dxa"/>
            <w:tcBorders>
              <w:top w:val="nil"/>
              <w:left w:val="nil"/>
              <w:bottom w:val="single" w:color="auto" w:sz="4" w:space="0"/>
              <w:right w:val="single" w:color="auto" w:sz="4" w:space="0"/>
            </w:tcBorders>
            <w:shd w:val="clear" w:color="000000" w:fill="FFFFFF"/>
            <w:vAlign w:val="center"/>
          </w:tcPr>
          <w:p>
            <w:pPr>
              <w:widowControl/>
              <w:spacing w:line="560" w:lineRule="exact"/>
              <w:jc w:val="left"/>
              <w:rPr>
                <w:rFonts w:ascii="宋体" w:hAnsi="宋体" w:cs="宋体"/>
                <w:color w:val="000000"/>
                <w:kern w:val="0"/>
                <w:sz w:val="24"/>
              </w:rPr>
            </w:pPr>
            <w:r>
              <w:rPr>
                <w:rFonts w:hint="eastAsia" w:ascii="宋体" w:hAnsi="宋体" w:cs="宋体"/>
                <w:color w:val="000000"/>
                <w:kern w:val="0"/>
                <w:sz w:val="24"/>
              </w:rPr>
              <w:t>您对这些时花的花期长短满意吗？</w:t>
            </w:r>
          </w:p>
        </w:tc>
        <w:tc>
          <w:tcPr>
            <w:tcW w:w="1276" w:type="dxa"/>
            <w:tcBorders>
              <w:top w:val="nil"/>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96.54%</w:t>
            </w:r>
          </w:p>
        </w:tc>
      </w:tr>
      <w:tr>
        <w:tblPrEx>
          <w:tblCellMar>
            <w:top w:w="0" w:type="dxa"/>
            <w:left w:w="108" w:type="dxa"/>
            <w:bottom w:w="0" w:type="dxa"/>
            <w:right w:w="108" w:type="dxa"/>
          </w:tblCellMar>
        </w:tblPrEx>
        <w:trPr>
          <w:trHeight w:val="567" w:hRule="atLeast"/>
        </w:trPr>
        <w:tc>
          <w:tcPr>
            <w:tcW w:w="707"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4</w:t>
            </w:r>
          </w:p>
        </w:tc>
        <w:tc>
          <w:tcPr>
            <w:tcW w:w="6806" w:type="dxa"/>
            <w:tcBorders>
              <w:top w:val="nil"/>
              <w:left w:val="nil"/>
              <w:bottom w:val="single" w:color="auto" w:sz="4" w:space="0"/>
              <w:right w:val="single" w:color="auto" w:sz="4" w:space="0"/>
            </w:tcBorders>
            <w:shd w:val="clear" w:color="000000" w:fill="F9F9F9"/>
            <w:vAlign w:val="center"/>
          </w:tcPr>
          <w:p>
            <w:pPr>
              <w:widowControl/>
              <w:spacing w:line="560" w:lineRule="exact"/>
              <w:jc w:val="left"/>
              <w:rPr>
                <w:rFonts w:ascii="宋体" w:hAnsi="宋体" w:cs="宋体"/>
                <w:color w:val="000000"/>
                <w:kern w:val="0"/>
                <w:sz w:val="24"/>
              </w:rPr>
            </w:pPr>
            <w:r>
              <w:rPr>
                <w:rFonts w:hint="eastAsia" w:ascii="宋体" w:hAnsi="宋体" w:cs="宋体"/>
                <w:color w:val="000000"/>
                <w:kern w:val="0"/>
                <w:sz w:val="24"/>
              </w:rPr>
              <w:t>您对时花的数量满意吗？</w:t>
            </w:r>
          </w:p>
        </w:tc>
        <w:tc>
          <w:tcPr>
            <w:tcW w:w="1276" w:type="dxa"/>
            <w:tcBorders>
              <w:top w:val="nil"/>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97.31%</w:t>
            </w:r>
          </w:p>
        </w:tc>
      </w:tr>
      <w:tr>
        <w:tblPrEx>
          <w:tblCellMar>
            <w:top w:w="0" w:type="dxa"/>
            <w:left w:w="108" w:type="dxa"/>
            <w:bottom w:w="0" w:type="dxa"/>
            <w:right w:w="108" w:type="dxa"/>
          </w:tblCellMar>
        </w:tblPrEx>
        <w:trPr>
          <w:trHeight w:val="567" w:hRule="atLeast"/>
        </w:trPr>
        <w:tc>
          <w:tcPr>
            <w:tcW w:w="707"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5</w:t>
            </w:r>
          </w:p>
        </w:tc>
        <w:tc>
          <w:tcPr>
            <w:tcW w:w="6806" w:type="dxa"/>
            <w:tcBorders>
              <w:top w:val="nil"/>
              <w:left w:val="nil"/>
              <w:bottom w:val="single" w:color="auto" w:sz="4" w:space="0"/>
              <w:right w:val="single" w:color="auto" w:sz="4" w:space="0"/>
            </w:tcBorders>
            <w:shd w:val="clear" w:color="000000" w:fill="F9F9F9"/>
            <w:vAlign w:val="center"/>
          </w:tcPr>
          <w:p>
            <w:pPr>
              <w:widowControl/>
              <w:spacing w:line="560" w:lineRule="exact"/>
              <w:jc w:val="left"/>
              <w:rPr>
                <w:rFonts w:ascii="宋体" w:hAnsi="宋体" w:cs="宋体"/>
                <w:color w:val="000000"/>
                <w:kern w:val="0"/>
                <w:sz w:val="24"/>
              </w:rPr>
            </w:pPr>
            <w:r>
              <w:rPr>
                <w:rFonts w:hint="eastAsia" w:ascii="宋体" w:hAnsi="宋体" w:cs="宋体"/>
                <w:color w:val="000000"/>
                <w:kern w:val="0"/>
                <w:sz w:val="24"/>
              </w:rPr>
              <w:t>您对时花的质量满意吗？</w:t>
            </w:r>
          </w:p>
        </w:tc>
        <w:tc>
          <w:tcPr>
            <w:tcW w:w="1276" w:type="dxa"/>
            <w:tcBorders>
              <w:top w:val="nil"/>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96.92%</w:t>
            </w:r>
          </w:p>
        </w:tc>
      </w:tr>
      <w:tr>
        <w:tblPrEx>
          <w:tblCellMar>
            <w:top w:w="0" w:type="dxa"/>
            <w:left w:w="108" w:type="dxa"/>
            <w:bottom w:w="0" w:type="dxa"/>
            <w:right w:w="108" w:type="dxa"/>
          </w:tblCellMar>
        </w:tblPrEx>
        <w:trPr>
          <w:trHeight w:val="567" w:hRule="atLeast"/>
        </w:trPr>
        <w:tc>
          <w:tcPr>
            <w:tcW w:w="707"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6</w:t>
            </w:r>
          </w:p>
        </w:tc>
        <w:tc>
          <w:tcPr>
            <w:tcW w:w="6806" w:type="dxa"/>
            <w:tcBorders>
              <w:top w:val="nil"/>
              <w:left w:val="nil"/>
              <w:bottom w:val="single" w:color="auto" w:sz="4" w:space="0"/>
              <w:right w:val="single" w:color="auto" w:sz="4" w:space="0"/>
            </w:tcBorders>
            <w:shd w:val="clear" w:color="000000" w:fill="F9F9F9"/>
            <w:vAlign w:val="center"/>
          </w:tcPr>
          <w:p>
            <w:pPr>
              <w:widowControl/>
              <w:spacing w:line="560" w:lineRule="exact"/>
              <w:jc w:val="left"/>
              <w:rPr>
                <w:rFonts w:ascii="宋体" w:hAnsi="宋体" w:cs="宋体"/>
                <w:color w:val="000000"/>
                <w:kern w:val="0"/>
                <w:sz w:val="24"/>
              </w:rPr>
            </w:pPr>
            <w:r>
              <w:rPr>
                <w:rFonts w:hint="eastAsia" w:ascii="宋体" w:hAnsi="宋体" w:cs="宋体"/>
                <w:color w:val="000000"/>
                <w:kern w:val="0"/>
                <w:sz w:val="24"/>
              </w:rPr>
              <w:t>您对时花的品种满意吗？</w:t>
            </w:r>
          </w:p>
        </w:tc>
        <w:tc>
          <w:tcPr>
            <w:tcW w:w="1276" w:type="dxa"/>
            <w:tcBorders>
              <w:top w:val="nil"/>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96.15%</w:t>
            </w:r>
          </w:p>
        </w:tc>
      </w:tr>
      <w:tr>
        <w:tblPrEx>
          <w:tblCellMar>
            <w:top w:w="0" w:type="dxa"/>
            <w:left w:w="108" w:type="dxa"/>
            <w:bottom w:w="0" w:type="dxa"/>
            <w:right w:w="108" w:type="dxa"/>
          </w:tblCellMar>
        </w:tblPrEx>
        <w:trPr>
          <w:trHeight w:val="567" w:hRule="atLeast"/>
        </w:trPr>
        <w:tc>
          <w:tcPr>
            <w:tcW w:w="707"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7</w:t>
            </w:r>
          </w:p>
        </w:tc>
        <w:tc>
          <w:tcPr>
            <w:tcW w:w="6806" w:type="dxa"/>
            <w:tcBorders>
              <w:top w:val="nil"/>
              <w:left w:val="nil"/>
              <w:bottom w:val="single" w:color="auto" w:sz="4" w:space="0"/>
              <w:right w:val="single" w:color="auto" w:sz="4" w:space="0"/>
            </w:tcBorders>
            <w:shd w:val="clear" w:color="000000" w:fill="F9F9F9"/>
            <w:vAlign w:val="center"/>
          </w:tcPr>
          <w:p>
            <w:pPr>
              <w:widowControl/>
              <w:spacing w:line="560" w:lineRule="exact"/>
              <w:jc w:val="left"/>
              <w:rPr>
                <w:rFonts w:ascii="宋体" w:hAnsi="宋体" w:cs="宋体"/>
                <w:color w:val="000000"/>
                <w:kern w:val="0"/>
                <w:sz w:val="24"/>
              </w:rPr>
            </w:pPr>
            <w:r>
              <w:rPr>
                <w:rFonts w:hint="eastAsia" w:ascii="宋体" w:hAnsi="宋体" w:cs="宋体"/>
                <w:color w:val="000000"/>
                <w:kern w:val="0"/>
                <w:sz w:val="24"/>
              </w:rPr>
              <w:t>您对时花养护效果满意吗？</w:t>
            </w:r>
          </w:p>
        </w:tc>
        <w:tc>
          <w:tcPr>
            <w:tcW w:w="1276" w:type="dxa"/>
            <w:tcBorders>
              <w:top w:val="nil"/>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95.38%</w:t>
            </w:r>
          </w:p>
        </w:tc>
      </w:tr>
      <w:tr>
        <w:tblPrEx>
          <w:tblCellMar>
            <w:top w:w="0" w:type="dxa"/>
            <w:left w:w="108" w:type="dxa"/>
            <w:bottom w:w="0" w:type="dxa"/>
            <w:right w:w="108" w:type="dxa"/>
          </w:tblCellMar>
        </w:tblPrEx>
        <w:trPr>
          <w:trHeight w:val="567" w:hRule="atLeast"/>
        </w:trPr>
        <w:tc>
          <w:tcPr>
            <w:tcW w:w="707"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8</w:t>
            </w:r>
          </w:p>
        </w:tc>
        <w:tc>
          <w:tcPr>
            <w:tcW w:w="6806" w:type="dxa"/>
            <w:tcBorders>
              <w:top w:val="nil"/>
              <w:left w:val="nil"/>
              <w:bottom w:val="single" w:color="auto" w:sz="4" w:space="0"/>
              <w:right w:val="single" w:color="auto" w:sz="4" w:space="0"/>
            </w:tcBorders>
            <w:shd w:val="clear" w:color="000000" w:fill="F9F9F9"/>
            <w:vAlign w:val="center"/>
          </w:tcPr>
          <w:p>
            <w:pPr>
              <w:widowControl/>
              <w:spacing w:line="560" w:lineRule="exact"/>
              <w:jc w:val="left"/>
              <w:rPr>
                <w:rFonts w:ascii="宋体" w:hAnsi="宋体" w:cs="宋体"/>
                <w:color w:val="000000"/>
                <w:kern w:val="0"/>
                <w:sz w:val="24"/>
              </w:rPr>
            </w:pPr>
            <w:r>
              <w:rPr>
                <w:rFonts w:hint="eastAsia" w:ascii="宋体" w:hAnsi="宋体" w:cs="宋体"/>
                <w:color w:val="000000"/>
                <w:kern w:val="0"/>
                <w:sz w:val="24"/>
              </w:rPr>
              <w:t>您对这些时花总体摆放效果满意吗？</w:t>
            </w:r>
          </w:p>
        </w:tc>
        <w:tc>
          <w:tcPr>
            <w:tcW w:w="1276" w:type="dxa"/>
            <w:tcBorders>
              <w:top w:val="nil"/>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96.92%</w:t>
            </w:r>
          </w:p>
        </w:tc>
      </w:tr>
      <w:tr>
        <w:tblPrEx>
          <w:tblCellMar>
            <w:top w:w="0" w:type="dxa"/>
            <w:left w:w="108" w:type="dxa"/>
            <w:bottom w:w="0" w:type="dxa"/>
            <w:right w:w="108" w:type="dxa"/>
          </w:tblCellMar>
        </w:tblPrEx>
        <w:trPr>
          <w:trHeight w:val="567" w:hRule="atLeast"/>
        </w:trPr>
        <w:tc>
          <w:tcPr>
            <w:tcW w:w="707" w:type="dxa"/>
            <w:tcBorders>
              <w:top w:val="nil"/>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9</w:t>
            </w:r>
          </w:p>
        </w:tc>
        <w:tc>
          <w:tcPr>
            <w:tcW w:w="6806" w:type="dxa"/>
            <w:tcBorders>
              <w:top w:val="nil"/>
              <w:left w:val="nil"/>
              <w:bottom w:val="single" w:color="auto" w:sz="4" w:space="0"/>
              <w:right w:val="single" w:color="auto" w:sz="4" w:space="0"/>
            </w:tcBorders>
            <w:shd w:val="clear" w:color="000000" w:fill="F9F9F9"/>
            <w:vAlign w:val="center"/>
          </w:tcPr>
          <w:p>
            <w:pPr>
              <w:widowControl/>
              <w:spacing w:line="560" w:lineRule="exact"/>
              <w:jc w:val="left"/>
              <w:rPr>
                <w:rFonts w:ascii="宋体" w:hAnsi="宋体" w:cs="宋体"/>
                <w:color w:val="000000"/>
                <w:kern w:val="0"/>
                <w:sz w:val="24"/>
              </w:rPr>
            </w:pPr>
            <w:r>
              <w:rPr>
                <w:rFonts w:hint="eastAsia" w:ascii="宋体" w:hAnsi="宋体" w:cs="宋体"/>
                <w:color w:val="000000"/>
                <w:kern w:val="0"/>
                <w:sz w:val="24"/>
              </w:rPr>
              <w:t>您对这些时花在美化环境、提升生活品质方面的效果满意吗？</w:t>
            </w:r>
          </w:p>
        </w:tc>
        <w:tc>
          <w:tcPr>
            <w:tcW w:w="1276" w:type="dxa"/>
            <w:tcBorders>
              <w:top w:val="nil"/>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97.31%</w:t>
            </w:r>
          </w:p>
        </w:tc>
      </w:tr>
      <w:tr>
        <w:tblPrEx>
          <w:tblCellMar>
            <w:top w:w="0" w:type="dxa"/>
            <w:left w:w="108" w:type="dxa"/>
            <w:bottom w:w="0" w:type="dxa"/>
            <w:right w:w="108" w:type="dxa"/>
          </w:tblCellMar>
        </w:tblPrEx>
        <w:trPr>
          <w:trHeight w:val="567" w:hRule="atLeast"/>
        </w:trPr>
        <w:tc>
          <w:tcPr>
            <w:tcW w:w="7513" w:type="dxa"/>
            <w:gridSpan w:val="2"/>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合   计</w:t>
            </w:r>
          </w:p>
        </w:tc>
        <w:tc>
          <w:tcPr>
            <w:tcW w:w="1276" w:type="dxa"/>
            <w:tcBorders>
              <w:top w:val="nil"/>
              <w:left w:val="nil"/>
              <w:bottom w:val="single" w:color="auto" w:sz="4" w:space="0"/>
              <w:right w:val="single" w:color="auto" w:sz="4" w:space="0"/>
            </w:tcBorders>
            <w:shd w:val="clear" w:color="auto" w:fill="auto"/>
            <w:vAlign w:val="center"/>
          </w:tcPr>
          <w:p>
            <w:pPr>
              <w:widowControl/>
              <w:spacing w:line="560" w:lineRule="exact"/>
              <w:jc w:val="center"/>
              <w:rPr>
                <w:rFonts w:ascii="宋体" w:hAnsi="宋体" w:cs="宋体"/>
                <w:color w:val="000000"/>
                <w:kern w:val="0"/>
                <w:sz w:val="24"/>
              </w:rPr>
            </w:pPr>
            <w:r>
              <w:rPr>
                <w:rFonts w:hint="eastAsia" w:ascii="宋体" w:hAnsi="宋体" w:cs="宋体"/>
                <w:color w:val="000000"/>
                <w:kern w:val="0"/>
                <w:sz w:val="24"/>
              </w:rPr>
              <w:t>96.88%</w:t>
            </w:r>
          </w:p>
        </w:tc>
      </w:tr>
    </w:tbl>
    <w:p>
      <w:pPr>
        <w:widowControl/>
        <w:spacing w:line="360" w:lineRule="auto"/>
        <w:rPr>
          <w:rFonts w:ascii="宋体" w:hAnsi="宋体" w:cs="宋体"/>
          <w:color w:val="000000"/>
          <w:kern w:val="0"/>
          <w:sz w:val="24"/>
        </w:rPr>
      </w:pPr>
      <w:r>
        <w:rPr>
          <w:rFonts w:ascii="仿宋_GB2312" w:eastAsia="仿宋_GB2312"/>
          <w:sz w:val="32"/>
          <w:szCs w:val="32"/>
        </w:rPr>
        <w:tab/>
      </w:r>
      <w:r>
        <w:rPr>
          <w:rFonts w:hint="eastAsia" w:ascii="仿宋_GB2312" w:eastAsia="仿宋_GB2312"/>
          <w:sz w:val="32"/>
          <w:szCs w:val="32"/>
        </w:rPr>
        <w:t>其中满意度最高的问题是“您对时花摆放的时间满意吗”，满意度为98.</w:t>
      </w:r>
      <w:r>
        <w:rPr>
          <w:rFonts w:ascii="仿宋_GB2312" w:eastAsia="仿宋_GB2312"/>
          <w:sz w:val="32"/>
          <w:szCs w:val="32"/>
        </w:rPr>
        <w:t>46</w:t>
      </w:r>
      <w:r>
        <w:rPr>
          <w:rFonts w:hint="eastAsia" w:ascii="仿宋_GB2312" w:eastAsia="仿宋_GB2312"/>
          <w:sz w:val="32"/>
          <w:szCs w:val="32"/>
        </w:rPr>
        <w:t>%，说明项目单位在重要节日及重大活动前合理组织时花采购，得到了群众的广泛认可。满意度最低的问题是“您对时花养护效果满意吗？”，满意度为</w:t>
      </w:r>
      <w:r>
        <w:rPr>
          <w:rFonts w:ascii="仿宋_GB2312" w:eastAsia="仿宋_GB2312"/>
          <w:sz w:val="32"/>
          <w:szCs w:val="32"/>
        </w:rPr>
        <w:t>95.38%</w:t>
      </w:r>
      <w:r>
        <w:rPr>
          <w:rFonts w:hint="eastAsia" w:ascii="仿宋_GB2312" w:eastAsia="仿宋_GB2312"/>
          <w:sz w:val="32"/>
          <w:szCs w:val="32"/>
        </w:rPr>
        <w:t>，说明项目单位应加强时花的后期养护工作。</w:t>
      </w:r>
    </w:p>
    <w:p>
      <w:pPr>
        <w:pStyle w:val="2"/>
        <w:keepNext w:val="0"/>
        <w:keepLines w:val="0"/>
      </w:pPr>
      <w:bookmarkStart w:id="28" w:name="_Toc142062808"/>
      <w:r>
        <w:rPr>
          <w:rFonts w:hint="eastAsia"/>
        </w:rPr>
        <w:t>五、存在的主要问题</w:t>
      </w:r>
      <w:bookmarkEnd w:id="28"/>
    </w:p>
    <w:p>
      <w:pPr>
        <w:spacing w:line="360" w:lineRule="auto"/>
        <w:ind w:firstLine="642" w:firstLineChars="200"/>
        <w:outlineLvl w:val="1"/>
        <w:rPr>
          <w:rFonts w:ascii="仿宋_GB2312" w:eastAsia="仿宋_GB2312"/>
          <w:bCs/>
        </w:rPr>
      </w:pPr>
      <w:bookmarkStart w:id="29" w:name="_Toc142062809"/>
      <w:r>
        <w:rPr>
          <w:rFonts w:hint="eastAsia" w:ascii="黑体" w:hAnsi="黑体" w:eastAsia="楷体"/>
          <w:b/>
          <w:bCs/>
          <w:kern w:val="44"/>
          <w:sz w:val="32"/>
          <w:szCs w:val="30"/>
        </w:rPr>
        <w:t>（一）招标文件及合同未对时花品种、花色做出约定，不利于丰富时花品种</w:t>
      </w:r>
      <w:bookmarkEnd w:id="29"/>
    </w:p>
    <w:p>
      <w:pPr>
        <w:spacing w:line="360" w:lineRule="auto"/>
        <w:ind w:firstLine="640" w:firstLineChars="200"/>
        <w:rPr>
          <w:rFonts w:ascii="仿宋_GB2312" w:eastAsia="仿宋_GB2312"/>
          <w:sz w:val="32"/>
          <w:szCs w:val="32"/>
        </w:rPr>
      </w:pPr>
      <w:r>
        <w:rPr>
          <w:rFonts w:hint="eastAsia" w:ascii="仿宋_GB2312" w:eastAsia="仿宋_GB2312"/>
          <w:sz w:val="32"/>
          <w:szCs w:val="32"/>
        </w:rPr>
        <w:t>招标文件主要约定了采购面积、种植密度、采购数量、含税单价、时花规格和供货期，但对时花品种、花色没有做出规定。满意调查得分相对较低的一个问题就是“您对时花的品种满意吗？”，满意度为96.15%，说明供应商供应的时花品种、花色不够丰富，弱化了项目的社会效益。</w:t>
      </w:r>
    </w:p>
    <w:p>
      <w:pPr>
        <w:spacing w:line="360" w:lineRule="auto"/>
        <w:ind w:firstLine="642" w:firstLineChars="200"/>
        <w:outlineLvl w:val="1"/>
        <w:rPr>
          <w:rFonts w:ascii="仿宋_GB2312" w:eastAsia="仿宋_GB2312"/>
          <w:bCs/>
          <w:color w:val="000000"/>
          <w:sz w:val="32"/>
          <w:szCs w:val="32"/>
        </w:rPr>
      </w:pPr>
      <w:bookmarkStart w:id="30" w:name="_Toc142062810"/>
      <w:r>
        <w:rPr>
          <w:rFonts w:hint="eastAsia" w:ascii="黑体" w:hAnsi="黑体" w:eastAsia="楷体"/>
          <w:b/>
          <w:bCs/>
          <w:kern w:val="44"/>
          <w:sz w:val="32"/>
          <w:szCs w:val="30"/>
        </w:rPr>
        <w:t>（二）对供应商的考核、管理有待进一步加强</w:t>
      </w:r>
      <w:bookmarkEnd w:id="30"/>
    </w:p>
    <w:p>
      <w:pPr>
        <w:spacing w:line="360" w:lineRule="auto"/>
        <w:ind w:firstLine="640" w:firstLineChars="200"/>
        <w:rPr>
          <w:rFonts w:ascii="仿宋_GB2312" w:eastAsia="仿宋_GB2312"/>
          <w:bCs/>
          <w:color w:val="000000"/>
          <w:sz w:val="32"/>
          <w:szCs w:val="32"/>
        </w:rPr>
      </w:pPr>
      <w:r>
        <w:rPr>
          <w:rFonts w:hint="eastAsia" w:ascii="仿宋_GB2312" w:eastAsia="仿宋_GB2312"/>
          <w:bCs/>
          <w:color w:val="000000"/>
          <w:sz w:val="32"/>
          <w:szCs w:val="32"/>
        </w:rPr>
        <w:t>一是项目单位未制订针对供应商的考核制度，没有对供应商提供的服务进行考核。二是项目单位对项目过程管理的记录不够完善。</w:t>
      </w:r>
      <w:r>
        <w:rPr>
          <w:rFonts w:hint="eastAsia" w:ascii="仿宋_GB2312" w:hAnsi="微软雅黑" w:eastAsia="仿宋_GB2312" w:cs="微软雅黑"/>
          <w:bCs/>
          <w:color w:val="000000"/>
          <w:sz w:val="32"/>
          <w:szCs w:val="32"/>
        </w:rPr>
        <w:t>例如：</w:t>
      </w:r>
      <w:r>
        <w:rPr>
          <w:rFonts w:hint="eastAsia" w:ascii="仿宋_GB2312" w:eastAsia="仿宋_GB2312"/>
          <w:bCs/>
          <w:color w:val="000000"/>
          <w:sz w:val="32"/>
          <w:szCs w:val="32"/>
        </w:rPr>
        <w:t>招标文件和政府采购合同均约定“时花栽种开始准备土壤翻耕整地到该期次时花自然凋谢期间，中标投标人应派出项目技术负责人或技术人员到现场开展栽植、浇水、施肥、病虫害防治</w:t>
      </w:r>
      <w:r>
        <w:rPr>
          <w:rFonts w:hint="eastAsia" w:ascii="仿宋_GB2312" w:eastAsia="仿宋_GB2312"/>
          <w:bCs/>
          <w:color w:val="000000"/>
          <w:sz w:val="32"/>
          <w:szCs w:val="32"/>
          <w:lang w:eastAsia="zh-CN"/>
        </w:rPr>
        <w:t>以</w:t>
      </w:r>
      <w:r>
        <w:rPr>
          <w:rFonts w:hint="eastAsia" w:ascii="仿宋_GB2312" w:eastAsia="仿宋_GB2312"/>
          <w:bCs/>
          <w:color w:val="000000"/>
          <w:sz w:val="32"/>
          <w:szCs w:val="32"/>
        </w:rPr>
        <w:t>及花期捉控等技术指导服务，且每期次不少于3次”。项目单位介绍供应商有提供上述服务，但是没进行文字记录或留存现场服务照片；在现场走访时我们还了解到，项目单位对供应商提供不符合要求的时花会直接退回，要求重新提供，但是没有进行书面记录。</w:t>
      </w:r>
    </w:p>
    <w:p>
      <w:pPr>
        <w:spacing w:line="360" w:lineRule="auto"/>
        <w:ind w:firstLine="642" w:firstLineChars="200"/>
        <w:outlineLvl w:val="1"/>
        <w:rPr>
          <w:rFonts w:ascii="仿宋_GB2312" w:eastAsia="仿宋_GB2312"/>
          <w:bCs/>
          <w:color w:val="000000"/>
          <w:sz w:val="32"/>
          <w:szCs w:val="32"/>
        </w:rPr>
      </w:pPr>
      <w:bookmarkStart w:id="31" w:name="_Toc142062811"/>
      <w:r>
        <w:rPr>
          <w:rFonts w:hint="eastAsia" w:ascii="黑体" w:hAnsi="黑体" w:eastAsia="楷体"/>
          <w:b/>
          <w:bCs/>
          <w:kern w:val="44"/>
          <w:sz w:val="32"/>
          <w:szCs w:val="30"/>
        </w:rPr>
        <w:t>（三）项目成本可以进一步优化</w:t>
      </w:r>
      <w:bookmarkEnd w:id="31"/>
    </w:p>
    <w:p>
      <w:pPr>
        <w:spacing w:line="360" w:lineRule="auto"/>
        <w:ind w:firstLine="640" w:firstLineChars="200"/>
        <w:rPr>
          <w:rFonts w:ascii="仿宋_GB2312" w:eastAsia="仿宋_GB2312"/>
          <w:color w:val="000000"/>
          <w:sz w:val="32"/>
          <w:szCs w:val="32"/>
        </w:rPr>
      </w:pPr>
      <w:r>
        <w:rPr>
          <w:rFonts w:hint="eastAsia" w:ascii="仿宋_GB2312" w:eastAsia="仿宋_GB2312"/>
          <w:color w:val="000000"/>
          <w:sz w:val="32"/>
          <w:szCs w:val="32"/>
        </w:rPr>
        <w:t>时花摆放对扮靓城市，烘托节日气氛效果明显，但时花花期短，一般2-3个月就要更换一次，以0.85元/株，64株/平方米的种植密度计算， 更换1平方米一次大概需要54.4元，按一年更换</w:t>
      </w:r>
      <w:r>
        <w:rPr>
          <w:rFonts w:ascii="仿宋_GB2312" w:eastAsia="仿宋_GB2312"/>
          <w:color w:val="000000"/>
          <w:sz w:val="32"/>
          <w:szCs w:val="32"/>
        </w:rPr>
        <w:t>5</w:t>
      </w:r>
      <w:r>
        <w:rPr>
          <w:rFonts w:hint="eastAsia" w:ascii="仿宋_GB2312" w:eastAsia="仿宋_GB2312"/>
          <w:color w:val="000000"/>
          <w:sz w:val="32"/>
          <w:szCs w:val="32"/>
        </w:rPr>
        <w:t>次计算，1平方米时花1年需要资金投入约</w:t>
      </w:r>
      <w:r>
        <w:rPr>
          <w:rFonts w:ascii="仿宋_GB2312" w:eastAsia="仿宋_GB2312"/>
          <w:color w:val="000000"/>
          <w:sz w:val="32"/>
          <w:szCs w:val="32"/>
        </w:rPr>
        <w:t>272</w:t>
      </w:r>
      <w:r>
        <w:rPr>
          <w:rFonts w:hint="eastAsia" w:ascii="仿宋_GB2312" w:eastAsia="仿宋_GB2312"/>
          <w:color w:val="000000"/>
          <w:sz w:val="32"/>
          <w:szCs w:val="32"/>
        </w:rPr>
        <w:t>元。我们网上收集了周边城市长效花卉的价格，尽管长效花卉的价格可能会随季节波动，但是栽种长效花卉的总体成本低于时花，同样可以起到美化城市的效果。</w:t>
      </w:r>
    </w:p>
    <w:tbl>
      <w:tblPr>
        <w:tblStyle w:val="12"/>
        <w:tblW w:w="83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2"/>
        <w:gridCol w:w="1984"/>
        <w:gridCol w:w="2126"/>
        <w:gridCol w:w="21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blHeader/>
        </w:trPr>
        <w:tc>
          <w:tcPr>
            <w:tcW w:w="2122"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产地</w:t>
            </w:r>
          </w:p>
        </w:tc>
        <w:tc>
          <w:tcPr>
            <w:tcW w:w="1984"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种类</w:t>
            </w:r>
          </w:p>
        </w:tc>
        <w:tc>
          <w:tcPr>
            <w:tcW w:w="2126"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2023年03月04日报价（元/株）</w:t>
            </w:r>
          </w:p>
        </w:tc>
        <w:tc>
          <w:tcPr>
            <w:tcW w:w="2127"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2023年03月03日报价（元/株）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122"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龙岩市漳平市</w:t>
            </w:r>
          </w:p>
        </w:tc>
        <w:tc>
          <w:tcPr>
            <w:tcW w:w="1984"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茶花树</w:t>
            </w:r>
          </w:p>
        </w:tc>
        <w:tc>
          <w:tcPr>
            <w:tcW w:w="2126"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12.84</w:t>
            </w:r>
          </w:p>
        </w:tc>
        <w:tc>
          <w:tcPr>
            <w:tcW w:w="2127"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11.19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122"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龙岩市漳平市</w:t>
            </w:r>
          </w:p>
        </w:tc>
        <w:tc>
          <w:tcPr>
            <w:tcW w:w="1984"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四季杜鹃</w:t>
            </w:r>
          </w:p>
        </w:tc>
        <w:tc>
          <w:tcPr>
            <w:tcW w:w="2126"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10.25</w:t>
            </w:r>
          </w:p>
        </w:tc>
        <w:tc>
          <w:tcPr>
            <w:tcW w:w="2127" w:type="dxa"/>
            <w:shd w:val="clear" w:color="000000" w:fill="FFFFFF"/>
            <w:noWrap/>
            <w:vAlign w:val="center"/>
          </w:tcPr>
          <w:p>
            <w:pPr>
              <w:widowControl/>
              <w:jc w:val="center"/>
              <w:rPr>
                <w:rFonts w:ascii="宋体" w:hAnsi="宋体" w:cs="宋体"/>
                <w:color w:val="000000"/>
                <w:kern w:val="0"/>
                <w:sz w:val="24"/>
              </w:rPr>
            </w:pPr>
            <w:r>
              <w:rPr>
                <w:rFonts w:hint="eastAsia" w:ascii="宋体" w:hAnsi="宋体" w:cs="宋体"/>
                <w:color w:val="000000"/>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122"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漳州市龙海区</w:t>
            </w:r>
          </w:p>
        </w:tc>
        <w:tc>
          <w:tcPr>
            <w:tcW w:w="1984"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绿樱三角梅</w:t>
            </w:r>
          </w:p>
        </w:tc>
        <w:tc>
          <w:tcPr>
            <w:tcW w:w="2126"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7.79</w:t>
            </w:r>
          </w:p>
        </w:tc>
        <w:tc>
          <w:tcPr>
            <w:tcW w:w="2127"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9.36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122"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南平市浦城县</w:t>
            </w:r>
          </w:p>
        </w:tc>
        <w:tc>
          <w:tcPr>
            <w:tcW w:w="1984"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茶花树</w:t>
            </w:r>
          </w:p>
        </w:tc>
        <w:tc>
          <w:tcPr>
            <w:tcW w:w="2126"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19</w:t>
            </w:r>
          </w:p>
        </w:tc>
        <w:tc>
          <w:tcPr>
            <w:tcW w:w="2127"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20.38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122"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漳州市龙海区</w:t>
            </w:r>
          </w:p>
        </w:tc>
        <w:tc>
          <w:tcPr>
            <w:tcW w:w="1984"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中国红三角梅</w:t>
            </w:r>
          </w:p>
        </w:tc>
        <w:tc>
          <w:tcPr>
            <w:tcW w:w="2126"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6.62</w:t>
            </w:r>
          </w:p>
        </w:tc>
        <w:tc>
          <w:tcPr>
            <w:tcW w:w="2127"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7.09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122"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漳州市南靖县</w:t>
            </w:r>
          </w:p>
        </w:tc>
        <w:tc>
          <w:tcPr>
            <w:tcW w:w="1984" w:type="dxa"/>
            <w:shd w:val="clear" w:color="000000" w:fill="FFFFFF"/>
            <w:vAlign w:val="center"/>
          </w:tcPr>
          <w:p>
            <w:pPr>
              <w:widowControl/>
              <w:jc w:val="center"/>
              <w:rPr>
                <w:rFonts w:ascii="宋体" w:hAnsi="宋体" w:cs="宋体"/>
                <w:color w:val="333333"/>
                <w:kern w:val="0"/>
                <w:sz w:val="24"/>
              </w:rPr>
            </w:pPr>
            <w:r>
              <w:rPr>
                <w:rFonts w:hint="eastAsia" w:ascii="宋体" w:hAnsi="宋体" w:cs="宋体"/>
                <w:color w:val="333333"/>
                <w:kern w:val="0"/>
                <w:sz w:val="24"/>
              </w:rPr>
              <w:t>春兰</w:t>
            </w:r>
          </w:p>
        </w:tc>
        <w:tc>
          <w:tcPr>
            <w:tcW w:w="2126"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33.53</w:t>
            </w:r>
          </w:p>
        </w:tc>
        <w:tc>
          <w:tcPr>
            <w:tcW w:w="2127"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35.88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122"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龙岩市漳平市</w:t>
            </w:r>
          </w:p>
        </w:tc>
        <w:tc>
          <w:tcPr>
            <w:tcW w:w="1984"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金边瑞香</w:t>
            </w:r>
          </w:p>
        </w:tc>
        <w:tc>
          <w:tcPr>
            <w:tcW w:w="2126"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7.05</w:t>
            </w:r>
          </w:p>
        </w:tc>
        <w:tc>
          <w:tcPr>
            <w:tcW w:w="2127" w:type="dxa"/>
            <w:shd w:val="clear" w:color="000000" w:fill="FFFFFF"/>
            <w:vAlign w:val="center"/>
          </w:tcPr>
          <w:p>
            <w:pPr>
              <w:widowControl/>
              <w:jc w:val="center"/>
              <w:rPr>
                <w:rFonts w:ascii="宋体" w:hAnsi="宋体" w:cs="Arial"/>
                <w:color w:val="333333"/>
                <w:kern w:val="0"/>
                <w:sz w:val="24"/>
              </w:rPr>
            </w:pPr>
            <w:r>
              <w:rPr>
                <w:rFonts w:hint="eastAsia" w:ascii="宋体" w:hAnsi="宋体" w:cs="Arial"/>
                <w:color w:val="333333"/>
                <w:kern w:val="0"/>
                <w:sz w:val="24"/>
              </w:rPr>
              <w:t>7.15</w:t>
            </w:r>
          </w:p>
        </w:tc>
      </w:tr>
    </w:tbl>
    <w:p>
      <w:pPr>
        <w:spacing w:line="360" w:lineRule="auto"/>
        <w:ind w:firstLine="642" w:firstLineChars="200"/>
        <w:outlineLvl w:val="1"/>
        <w:rPr>
          <w:rFonts w:ascii="黑体" w:hAnsi="黑体" w:eastAsia="楷体"/>
          <w:b/>
          <w:bCs/>
          <w:kern w:val="44"/>
          <w:sz w:val="32"/>
          <w:szCs w:val="30"/>
        </w:rPr>
      </w:pPr>
      <w:bookmarkStart w:id="32" w:name="_Toc142062812"/>
      <w:r>
        <w:rPr>
          <w:rFonts w:hint="eastAsia" w:ascii="黑体" w:hAnsi="黑体" w:eastAsia="楷体"/>
          <w:b/>
          <w:bCs/>
          <w:kern w:val="44"/>
          <w:sz w:val="32"/>
          <w:szCs w:val="30"/>
        </w:rPr>
        <w:t>（四）款项支付方式与合同约定不符</w:t>
      </w:r>
      <w:bookmarkEnd w:id="32"/>
    </w:p>
    <w:p>
      <w:pPr>
        <w:spacing w:line="360" w:lineRule="auto"/>
        <w:ind w:firstLine="640" w:firstLineChars="200"/>
        <w:rPr>
          <w:rFonts w:ascii="黑体" w:hAnsi="黑体" w:eastAsia="楷体"/>
          <w:b/>
          <w:bCs/>
          <w:kern w:val="44"/>
          <w:sz w:val="32"/>
          <w:szCs w:val="30"/>
        </w:rPr>
      </w:pPr>
      <w:r>
        <w:rPr>
          <w:rFonts w:hint="eastAsia" w:ascii="仿宋_GB2312" w:eastAsia="仿宋_GB2312"/>
          <w:sz w:val="32"/>
          <w:szCs w:val="32"/>
        </w:rPr>
        <w:t>招标文件和采购合同约定按各期次种植安排的实际供货数量结算款项，分二期支付：第一期支付</w:t>
      </w:r>
      <w:r>
        <w:rPr>
          <w:rFonts w:ascii="仿宋_GB2312" w:eastAsia="仿宋_GB2312"/>
          <w:sz w:val="32"/>
          <w:szCs w:val="32"/>
        </w:rPr>
        <w:t>60%</w:t>
      </w:r>
      <w:r>
        <w:rPr>
          <w:rFonts w:hint="eastAsia" w:ascii="仿宋_GB2312" w:eastAsia="仿宋_GB2312"/>
          <w:sz w:val="32"/>
          <w:szCs w:val="32"/>
        </w:rPr>
        <w:t>，具体为供应完成后15个日历日内，中标人向采购人递交申报结算的相关材料（申报结算材料审核后有不完整的，中标人须在接到通知之日起三个日历日内将材料补充完整），申报结算材料完整后，采购人待财政资金到位后支付；第二期支付</w:t>
      </w:r>
      <w:r>
        <w:rPr>
          <w:rFonts w:ascii="仿宋_GB2312" w:eastAsia="仿宋_GB2312"/>
          <w:sz w:val="32"/>
          <w:szCs w:val="32"/>
        </w:rPr>
        <w:t>4</w:t>
      </w:r>
      <w:r>
        <w:rPr>
          <w:rFonts w:hint="eastAsia" w:ascii="仿宋_GB2312" w:eastAsia="仿宋_GB2312"/>
          <w:sz w:val="32"/>
          <w:szCs w:val="32"/>
        </w:rPr>
        <w:t>0%，为每次种植季，种植30天后花期验收合格后付清苗木款。我们没有看到有补充合同等对款项支付做出修改或调整。实际工作中，项目单位未按合同约定分期支付款项，而是一次性将第一批次货款</w:t>
      </w:r>
      <w:r>
        <w:rPr>
          <w:rFonts w:ascii="仿宋_GB2312" w:eastAsia="仿宋_GB2312"/>
          <w:sz w:val="32"/>
          <w:szCs w:val="32"/>
        </w:rPr>
        <w:t>100%</w:t>
      </w:r>
      <w:r>
        <w:rPr>
          <w:rFonts w:hint="eastAsia" w:ascii="仿宋_GB2312" w:eastAsia="仿宋_GB2312"/>
          <w:sz w:val="32"/>
          <w:szCs w:val="32"/>
        </w:rPr>
        <w:t>支付给供应商，与合同约定不符。</w:t>
      </w:r>
    </w:p>
    <w:p>
      <w:pPr>
        <w:spacing w:line="360" w:lineRule="auto"/>
        <w:ind w:firstLine="642" w:firstLineChars="200"/>
        <w:outlineLvl w:val="1"/>
        <w:rPr>
          <w:rFonts w:ascii="仿宋_GB2312" w:eastAsia="仿宋_GB2312"/>
        </w:rPr>
      </w:pPr>
      <w:bookmarkStart w:id="33" w:name="_Toc142062813"/>
      <w:r>
        <w:rPr>
          <w:rFonts w:hint="eastAsia" w:ascii="黑体" w:hAnsi="黑体" w:eastAsia="楷体"/>
          <w:b/>
          <w:bCs/>
          <w:kern w:val="44"/>
          <w:sz w:val="32"/>
          <w:szCs w:val="30"/>
        </w:rPr>
        <w:t>（五）时花种植地点可以进一步优化</w:t>
      </w:r>
      <w:bookmarkEnd w:id="33"/>
    </w:p>
    <w:p>
      <w:pPr>
        <w:spacing w:line="360" w:lineRule="auto"/>
        <w:ind w:firstLine="640" w:firstLineChars="200"/>
        <w:rPr>
          <w:rFonts w:ascii="仿宋_GB2312" w:eastAsia="仿宋_GB2312"/>
          <w:sz w:val="32"/>
          <w:szCs w:val="32"/>
        </w:rPr>
      </w:pPr>
      <w:r>
        <w:rPr>
          <w:rFonts w:hint="eastAsia" w:ascii="仿宋_GB2312" w:eastAsia="仿宋_GB2312"/>
          <w:sz w:val="32"/>
          <w:szCs w:val="32"/>
        </w:rPr>
        <w:t>根据招标文件和政府采购合同约定，时花采购主要供应共5条道路、3个固定点位和市区主次干道。实际完成7条道路、7个固定点位的时花采购，增加的道路或点位分别是学府路与宝岛路交叉口、宝盖山、花海谷公园、鸳鸯池公园、石狮大道、锦尚外线。时花项目的总体目标是持续美化城市环境，增强可观赏性，提高城市形象。但是锦尚外线相对偏僻，人流较少，时花种植受益人群少；石狮大道主要以车流为主，休闲、停留的人员少，时花种植效益不明显。</w:t>
      </w:r>
    </w:p>
    <w:p>
      <w:pPr>
        <w:pStyle w:val="2"/>
        <w:keepNext w:val="0"/>
        <w:keepLines w:val="0"/>
        <w:rPr>
          <w:rFonts w:hAnsi="黑体" w:eastAsia="楷体"/>
          <w:b/>
          <w:bCs w:val="0"/>
          <w:kern w:val="44"/>
          <w:szCs w:val="30"/>
        </w:rPr>
      </w:pPr>
      <w:bookmarkStart w:id="34" w:name="_Toc142062814"/>
      <w:r>
        <w:rPr>
          <w:rFonts w:hint="eastAsia"/>
        </w:rPr>
        <w:t>六、主要相关建议</w:t>
      </w:r>
      <w:bookmarkEnd w:id="34"/>
    </w:p>
    <w:p>
      <w:pPr>
        <w:spacing w:line="360" w:lineRule="auto"/>
        <w:ind w:firstLine="642" w:firstLineChars="200"/>
        <w:outlineLvl w:val="1"/>
        <w:rPr>
          <w:rFonts w:ascii="仿宋_GB2312" w:eastAsia="仿宋_GB2312"/>
          <w:bCs/>
          <w:color w:val="000000"/>
          <w:sz w:val="32"/>
          <w:szCs w:val="32"/>
        </w:rPr>
      </w:pPr>
      <w:bookmarkStart w:id="35" w:name="_Toc142062815"/>
      <w:r>
        <w:rPr>
          <w:rFonts w:hint="eastAsia" w:ascii="黑体" w:hAnsi="黑体" w:eastAsia="楷体"/>
          <w:b/>
          <w:bCs/>
          <w:kern w:val="44"/>
          <w:sz w:val="32"/>
          <w:szCs w:val="30"/>
        </w:rPr>
        <w:t>（一）细化招标文件，提升采购质量</w:t>
      </w:r>
      <w:bookmarkEnd w:id="35"/>
    </w:p>
    <w:p>
      <w:pPr>
        <w:spacing w:line="360" w:lineRule="auto"/>
        <w:ind w:firstLine="640" w:firstLineChars="200"/>
        <w:rPr>
          <w:rFonts w:ascii="仿宋_GB2312" w:eastAsia="仿宋_GB2312"/>
          <w:sz w:val="32"/>
          <w:szCs w:val="32"/>
        </w:rPr>
      </w:pPr>
      <w:r>
        <w:rPr>
          <w:rFonts w:hint="eastAsia" w:ascii="仿宋_GB2312" w:eastAsia="仿宋_GB2312"/>
          <w:sz w:val="32"/>
          <w:szCs w:val="32"/>
        </w:rPr>
        <w:t>可以参照妈祖文化特色小镇提升项目（湄洲岛景观绿化提升工程）-2023年重要节点时花采购结果公告，对时花规格进一步细化，例如：每批次提供不少于5个品种或颜色供发包方选择。设置这类招标条件有利于改变时花品种过于单一的现象，促使供应商丰富时花品种或颜色，提高供应质量。</w:t>
      </w:r>
    </w:p>
    <w:p>
      <w:pPr>
        <w:spacing w:line="360" w:lineRule="auto"/>
        <w:ind w:firstLine="642" w:firstLineChars="200"/>
        <w:outlineLvl w:val="1"/>
        <w:rPr>
          <w:rFonts w:ascii="仿宋_GB2312" w:eastAsia="仿宋_GB2312"/>
          <w:sz w:val="32"/>
          <w:szCs w:val="32"/>
        </w:rPr>
      </w:pPr>
      <w:bookmarkStart w:id="36" w:name="_Toc142062816"/>
      <w:r>
        <w:rPr>
          <w:rFonts w:hint="eastAsia" w:ascii="黑体" w:hAnsi="黑体" w:eastAsia="楷体"/>
          <w:b/>
          <w:bCs/>
          <w:kern w:val="44"/>
          <w:sz w:val="32"/>
          <w:szCs w:val="30"/>
        </w:rPr>
        <w:t>（二）完善考核管理机制，提升供应商服务水平</w:t>
      </w:r>
      <w:bookmarkEnd w:id="36"/>
    </w:p>
    <w:p>
      <w:pPr>
        <w:spacing w:line="360" w:lineRule="auto"/>
        <w:ind w:firstLine="640" w:firstLineChars="200"/>
        <w:rPr>
          <w:rFonts w:ascii="仿宋_GB2312" w:eastAsia="仿宋_GB2312"/>
          <w:sz w:val="32"/>
          <w:szCs w:val="32"/>
        </w:rPr>
      </w:pPr>
      <w:r>
        <w:rPr>
          <w:rFonts w:hint="eastAsia" w:ascii="仿宋_GB2312" w:eastAsia="仿宋_GB2312"/>
          <w:sz w:val="32"/>
          <w:szCs w:val="32"/>
        </w:rPr>
        <w:t>一是制订供应商考核、管理制度，按照招标文件或采购合同的条款对供应商进行考核、管理。二是加强过程管理，对供应商提供服务或退回时花等情况进行书面记录，详细记录提供服务时间、次数，退回时花批次、摆放地点及退回原因等，可以作为对供应商的评价考核依据，促使供应商不断提升服务水平，提高服务质量。</w:t>
      </w:r>
    </w:p>
    <w:p>
      <w:pPr>
        <w:spacing w:line="360" w:lineRule="auto"/>
        <w:ind w:firstLine="642" w:firstLineChars="200"/>
        <w:outlineLvl w:val="1"/>
        <w:rPr>
          <w:rFonts w:ascii="仿宋_GB2312" w:eastAsia="仿宋_GB2312"/>
          <w:b/>
          <w:color w:val="000000"/>
          <w:sz w:val="32"/>
          <w:szCs w:val="32"/>
        </w:rPr>
      </w:pPr>
      <w:bookmarkStart w:id="37" w:name="_Toc142062817"/>
      <w:r>
        <w:rPr>
          <w:rFonts w:hint="eastAsia" w:ascii="黑体" w:hAnsi="黑体" w:eastAsia="楷体"/>
          <w:b/>
          <w:bCs/>
          <w:kern w:val="44"/>
          <w:sz w:val="32"/>
          <w:szCs w:val="30"/>
        </w:rPr>
        <w:t>（三）压缩采购成本，降本增效</w:t>
      </w:r>
      <w:bookmarkEnd w:id="37"/>
    </w:p>
    <w:p>
      <w:pPr>
        <w:spacing w:line="360" w:lineRule="auto"/>
        <w:ind w:firstLine="640" w:firstLineChars="200"/>
        <w:rPr>
          <w:rFonts w:ascii="仿宋_GB2312" w:eastAsia="仿宋_GB2312"/>
          <w:sz w:val="32"/>
          <w:szCs w:val="32"/>
        </w:rPr>
      </w:pPr>
      <w:r>
        <w:rPr>
          <w:rFonts w:hint="eastAsia" w:ascii="仿宋_GB2312" w:eastAsia="仿宋_GB2312"/>
          <w:sz w:val="32"/>
          <w:szCs w:val="32"/>
        </w:rPr>
        <w:t>建议优化时花采购品种，将长效花卉种植和重要场所重大节日时花摆放相结合，在硬化地面通过摆放时花或搭设花架，建设亮点，增强观赏性。对于绿地可以考虑植种比较经济性的苗木或长效花卉，使花境得到长期保留，在美化城市景观的同时，降低成本支出，提升财政资金使用效益。</w:t>
      </w:r>
    </w:p>
    <w:p>
      <w:pPr>
        <w:spacing w:line="360" w:lineRule="auto"/>
        <w:ind w:firstLine="642" w:firstLineChars="200"/>
        <w:outlineLvl w:val="1"/>
        <w:rPr>
          <w:rFonts w:ascii="黑体" w:hAnsi="黑体" w:eastAsia="楷体"/>
          <w:b/>
          <w:bCs/>
          <w:kern w:val="44"/>
          <w:sz w:val="32"/>
          <w:szCs w:val="30"/>
        </w:rPr>
      </w:pPr>
      <w:bookmarkStart w:id="38" w:name="_Toc142062818"/>
      <w:r>
        <w:rPr>
          <w:rFonts w:hint="eastAsia" w:ascii="黑体" w:hAnsi="黑体" w:eastAsia="楷体"/>
          <w:b/>
          <w:bCs/>
          <w:kern w:val="44"/>
          <w:sz w:val="32"/>
          <w:szCs w:val="30"/>
        </w:rPr>
        <w:t>（四）按照合同约定，规范支付款项</w:t>
      </w:r>
      <w:bookmarkEnd w:id="38"/>
    </w:p>
    <w:p>
      <w:pPr>
        <w:spacing w:line="360" w:lineRule="auto"/>
        <w:ind w:firstLine="640" w:firstLineChars="200"/>
        <w:rPr>
          <w:rFonts w:ascii="黑体" w:hAnsi="黑体" w:eastAsia="楷体"/>
          <w:b/>
          <w:bCs/>
          <w:kern w:val="44"/>
          <w:sz w:val="32"/>
          <w:szCs w:val="30"/>
        </w:rPr>
      </w:pPr>
      <w:r>
        <w:rPr>
          <w:rFonts w:hint="eastAsia" w:ascii="仿宋_GB2312" w:eastAsia="仿宋_GB2312"/>
          <w:sz w:val="32"/>
          <w:szCs w:val="32"/>
        </w:rPr>
        <w:t>建议项目单位加强履约意识，严格资金支出审批，按照合同约定进行款项支付，</w:t>
      </w:r>
      <w:r>
        <w:rPr>
          <w:rFonts w:hint="eastAsia" w:ascii="仿宋_GB2312" w:eastAsia="仿宋_GB2312"/>
          <w:sz w:val="32"/>
          <w:szCs w:val="32"/>
          <w:lang w:eastAsia="zh-CN"/>
        </w:rPr>
        <w:t>防范</w:t>
      </w:r>
      <w:r>
        <w:rPr>
          <w:rFonts w:hint="eastAsia" w:ascii="仿宋_GB2312" w:eastAsia="仿宋_GB2312"/>
          <w:sz w:val="32"/>
          <w:szCs w:val="32"/>
        </w:rPr>
        <w:t>资金支付与合同约定不符引发的法律风险。若项目情况发生变动，原有的合同约定不符合实际情况，应及时签订补充合同，对相应条款做出修订或调整，维护合同的权威性，保护单位的合法利益不受影响。</w:t>
      </w:r>
    </w:p>
    <w:p>
      <w:pPr>
        <w:spacing w:line="360" w:lineRule="auto"/>
        <w:ind w:firstLine="642" w:firstLineChars="200"/>
        <w:outlineLvl w:val="1"/>
        <w:rPr>
          <w:rFonts w:ascii="仿宋_GB2312" w:eastAsia="仿宋_GB2312"/>
        </w:rPr>
      </w:pPr>
      <w:bookmarkStart w:id="39" w:name="_Toc142062819"/>
      <w:r>
        <w:rPr>
          <w:rFonts w:hint="eastAsia" w:ascii="黑体" w:hAnsi="黑体" w:eastAsia="楷体"/>
          <w:b/>
          <w:bCs/>
          <w:kern w:val="44"/>
          <w:sz w:val="32"/>
          <w:szCs w:val="30"/>
        </w:rPr>
        <w:t>（五）优化时花种植路段，提高财政资金使用效益</w:t>
      </w:r>
      <w:bookmarkEnd w:id="39"/>
    </w:p>
    <w:p>
      <w:pPr>
        <w:spacing w:line="360" w:lineRule="auto"/>
        <w:ind w:firstLine="640" w:firstLineChars="200"/>
        <w:rPr>
          <w:rFonts w:ascii="仿宋_GB2312" w:eastAsia="仿宋_GB2312"/>
          <w:sz w:val="32"/>
          <w:szCs w:val="32"/>
        </w:rPr>
      </w:pPr>
      <w:r>
        <w:rPr>
          <w:rFonts w:hint="eastAsia" w:ascii="仿宋_GB2312" w:eastAsia="仿宋_GB2312"/>
          <w:sz w:val="32"/>
          <w:szCs w:val="32"/>
        </w:rPr>
        <w:t>建议项目单位进一步优化时花种植点位或路段，合理安排种植批次。时花种植重点保障城市人流密集游客多的地方或城市核心路段、地点，做到突出节点，打造亮点，提升城市整体形象。对于人流少的路段则减少种植频率、降低种植密度或以种植长效花卉来代替时花，以节约项目资金投入，提高财政资金使用效益。</w:t>
      </w:r>
    </w:p>
    <w:p>
      <w:pPr>
        <w:pStyle w:val="2"/>
        <w:keepNext w:val="0"/>
        <w:keepLines w:val="0"/>
      </w:pPr>
      <w:bookmarkStart w:id="40" w:name="_Toc142062820"/>
      <w:r>
        <w:rPr>
          <w:rFonts w:hint="eastAsia"/>
        </w:rPr>
        <w:t>七、其他说明</w:t>
      </w:r>
      <w:bookmarkEnd w:id="40"/>
    </w:p>
    <w:p>
      <w:pPr>
        <w:keepNext/>
        <w:keepLines/>
        <w:spacing w:line="360" w:lineRule="auto"/>
        <w:ind w:firstLine="642" w:firstLineChars="200"/>
        <w:outlineLvl w:val="1"/>
        <w:rPr>
          <w:rFonts w:ascii="黑体" w:hAnsi="黑体" w:eastAsia="楷体"/>
          <w:b/>
          <w:bCs/>
          <w:kern w:val="44"/>
          <w:sz w:val="32"/>
          <w:szCs w:val="30"/>
        </w:rPr>
      </w:pPr>
      <w:bookmarkStart w:id="41" w:name="_Toc142062821"/>
      <w:r>
        <w:rPr>
          <w:rFonts w:hint="eastAsia" w:ascii="黑体" w:hAnsi="黑体" w:eastAsia="楷体"/>
          <w:b/>
          <w:bCs/>
          <w:kern w:val="44"/>
          <w:sz w:val="32"/>
          <w:szCs w:val="30"/>
        </w:rPr>
        <w:t>（一）时花采购的必要性</w:t>
      </w:r>
      <w:bookmarkEnd w:id="41"/>
    </w:p>
    <w:p>
      <w:pPr>
        <w:spacing w:line="360" w:lineRule="auto"/>
        <w:ind w:firstLine="640" w:firstLineChars="200"/>
        <w:rPr>
          <w:rFonts w:ascii="仿宋_GB2312" w:eastAsia="仿宋_GB2312"/>
          <w:sz w:val="32"/>
          <w:szCs w:val="32"/>
        </w:rPr>
      </w:pPr>
      <w:r>
        <w:rPr>
          <w:rFonts w:hint="eastAsia" w:ascii="仿宋_GB2312" w:eastAsia="仿宋_GB2312"/>
          <w:sz w:val="32"/>
          <w:szCs w:val="32"/>
        </w:rPr>
        <w:t>时花摆放在美化城市环境，营造喜庆气氛，提高城市形象方面意义重大。通过时花摆放还可以构建人与自然相和谐的生态环境，为创建国家园林城市，宜居生态城市提供条件。时花采购符合石狮市城乡建设品质提升的工作方向，项目实施具有必要性。</w:t>
      </w:r>
    </w:p>
    <w:p>
      <w:pPr>
        <w:spacing w:line="560" w:lineRule="exact"/>
        <w:ind w:firstLine="642" w:firstLineChars="200"/>
        <w:outlineLvl w:val="1"/>
        <w:rPr>
          <w:rFonts w:ascii="黑体" w:hAnsi="黑体" w:eastAsia="楷体"/>
          <w:b/>
          <w:bCs/>
          <w:kern w:val="44"/>
          <w:sz w:val="32"/>
          <w:szCs w:val="30"/>
        </w:rPr>
      </w:pPr>
      <w:bookmarkStart w:id="42" w:name="_Toc142062822"/>
      <w:r>
        <w:rPr>
          <w:rFonts w:hint="eastAsia" w:ascii="黑体" w:hAnsi="黑体" w:eastAsia="楷体"/>
          <w:b/>
          <w:bCs/>
          <w:kern w:val="44"/>
          <w:sz w:val="32"/>
          <w:szCs w:val="30"/>
        </w:rPr>
        <w:t>（二）时花采购项目相关照片</w:t>
      </w:r>
      <w:bookmarkEnd w:id="42"/>
    </w:p>
    <w:p>
      <w:pPr>
        <w:spacing w:line="560" w:lineRule="exact"/>
        <w:ind w:firstLine="420" w:firstLineChars="200"/>
        <w:outlineLvl w:val="1"/>
        <w:rPr>
          <w:rFonts w:ascii="黑体" w:hAnsi="黑体" w:eastAsia="楷体"/>
          <w:b/>
          <w:bCs/>
          <w:kern w:val="44"/>
          <w:sz w:val="32"/>
          <w:szCs w:val="30"/>
        </w:rPr>
      </w:pPr>
      <w:bookmarkStart w:id="43" w:name="_Toc142062823"/>
      <w:r>
        <w:drawing>
          <wp:anchor distT="0" distB="0" distL="114300" distR="114300" simplePos="0" relativeHeight="251661312" behindDoc="0" locked="0" layoutInCell="1" allowOverlap="1">
            <wp:simplePos x="0" y="0"/>
            <wp:positionH relativeFrom="column">
              <wp:posOffset>215265</wp:posOffset>
            </wp:positionH>
            <wp:positionV relativeFrom="paragraph">
              <wp:posOffset>482600</wp:posOffset>
            </wp:positionV>
            <wp:extent cx="4838700" cy="2689860"/>
            <wp:effectExtent l="0" t="0" r="0" b="0"/>
            <wp:wrapTopAndBottom/>
            <wp:docPr id="1894540532" name="图片 1894540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540532" name="图片 18945405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4838700" cy="2689860"/>
                    </a:xfrm>
                    <a:prstGeom prst="rect">
                      <a:avLst/>
                    </a:prstGeom>
                    <a:noFill/>
                    <a:ln>
                      <a:noFill/>
                    </a:ln>
                  </pic:spPr>
                </pic:pic>
              </a:graphicData>
            </a:graphic>
          </wp:anchor>
        </w:drawing>
      </w:r>
      <w:bookmarkEnd w:id="43"/>
    </w:p>
    <w:p>
      <w:pPr>
        <w:spacing w:line="560" w:lineRule="exact"/>
        <w:rPr>
          <w:rFonts w:ascii="仿宋_GB2312" w:eastAsia="仿宋_GB2312"/>
          <w:sz w:val="32"/>
          <w:szCs w:val="32"/>
        </w:rPr>
      </w:pPr>
      <w:r>
        <w:drawing>
          <wp:anchor distT="0" distB="0" distL="114300" distR="114300" simplePos="0" relativeHeight="251659264" behindDoc="0" locked="0" layoutInCell="1" allowOverlap="1">
            <wp:simplePos x="0" y="0"/>
            <wp:positionH relativeFrom="column">
              <wp:posOffset>146685</wp:posOffset>
            </wp:positionH>
            <wp:positionV relativeFrom="paragraph">
              <wp:posOffset>670560</wp:posOffset>
            </wp:positionV>
            <wp:extent cx="4937760" cy="2606040"/>
            <wp:effectExtent l="0" t="0" r="0" b="3810"/>
            <wp:wrapTopAndBottom/>
            <wp:docPr id="4461613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161335" name="图片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937760" cy="2606040"/>
                    </a:xfrm>
                    <a:prstGeom prst="rect">
                      <a:avLst/>
                    </a:prstGeom>
                  </pic:spPr>
                </pic:pic>
              </a:graphicData>
            </a:graphic>
          </wp:anchor>
        </w:drawing>
      </w:r>
      <w:r>
        <w:drawing>
          <wp:anchor distT="0" distB="0" distL="114300" distR="114300" simplePos="0" relativeHeight="251660288" behindDoc="0" locked="0" layoutInCell="1" allowOverlap="1">
            <wp:simplePos x="0" y="0"/>
            <wp:positionH relativeFrom="column">
              <wp:posOffset>245745</wp:posOffset>
            </wp:positionH>
            <wp:positionV relativeFrom="paragraph">
              <wp:posOffset>4351020</wp:posOffset>
            </wp:positionV>
            <wp:extent cx="4838700" cy="2727960"/>
            <wp:effectExtent l="0" t="0" r="0" b="0"/>
            <wp:wrapTopAndBottom/>
            <wp:docPr id="16462753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275326" name="图片 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4838700" cy="2727960"/>
                    </a:xfrm>
                    <a:prstGeom prst="rect">
                      <a:avLst/>
                    </a:prstGeom>
                  </pic:spPr>
                </pic:pic>
              </a:graphicData>
            </a:graphic>
          </wp:anchor>
        </w:drawing>
      </w:r>
    </w:p>
    <w:p>
      <w:pPr>
        <w:spacing w:line="560" w:lineRule="exact"/>
        <w:ind w:firstLine="420" w:firstLineChars="200"/>
        <w:sectPr>
          <w:footerReference r:id="rId5" w:type="default"/>
          <w:pgSz w:w="11906" w:h="16838"/>
          <w:pgMar w:top="1440" w:right="1797" w:bottom="1440" w:left="1797" w:header="851" w:footer="737" w:gutter="0"/>
          <w:pgNumType w:start="1"/>
          <w:cols w:space="720" w:num="1"/>
          <w:docGrid w:type="lines" w:linePitch="312" w:charSpace="0"/>
        </w:sectPr>
      </w:pPr>
    </w:p>
    <w:p>
      <w:pPr>
        <w:pStyle w:val="2"/>
        <w:keepNext w:val="0"/>
        <w:keepLines w:val="0"/>
        <w:spacing w:line="560" w:lineRule="exact"/>
      </w:pPr>
      <w:bookmarkStart w:id="44" w:name="_Toc142062824"/>
      <w:r>
        <w:rPr>
          <w:rFonts w:hint="eastAsia"/>
        </w:rPr>
        <w:t>八</w:t>
      </w:r>
      <w:r>
        <w:t>、附件</w:t>
      </w:r>
      <w:bookmarkEnd w:id="44"/>
    </w:p>
    <w:p>
      <w:pPr>
        <w:keepNext/>
        <w:keepLines/>
        <w:spacing w:line="560" w:lineRule="exact"/>
        <w:ind w:firstLine="642" w:firstLineChars="200"/>
        <w:outlineLvl w:val="1"/>
        <w:rPr>
          <w:rFonts w:ascii="黑体" w:hAnsi="黑体" w:eastAsia="楷体"/>
          <w:b/>
          <w:bCs/>
          <w:kern w:val="44"/>
          <w:sz w:val="32"/>
          <w:szCs w:val="30"/>
        </w:rPr>
      </w:pPr>
      <w:bookmarkStart w:id="45" w:name="_Toc142062825"/>
      <w:r>
        <w:rPr>
          <w:rFonts w:hint="eastAsia" w:ascii="黑体" w:hAnsi="黑体" w:eastAsia="楷体"/>
          <w:b/>
          <w:bCs/>
          <w:kern w:val="44"/>
          <w:sz w:val="32"/>
          <w:szCs w:val="30"/>
        </w:rPr>
        <w:t>附件（一）</w:t>
      </w:r>
      <w:r>
        <w:rPr>
          <w:rFonts w:ascii="黑体" w:hAnsi="黑体" w:eastAsia="楷体"/>
          <w:b/>
          <w:bCs/>
          <w:kern w:val="44"/>
          <w:sz w:val="32"/>
          <w:szCs w:val="30"/>
        </w:rPr>
        <w:t>指标体系</w:t>
      </w:r>
      <w:bookmarkEnd w:id="45"/>
    </w:p>
    <w:p>
      <w:pPr>
        <w:spacing w:line="560" w:lineRule="exact"/>
        <w:jc w:val="center"/>
        <w:rPr>
          <w:rFonts w:ascii="仿宋_GB2312" w:eastAsia="仿宋_GB2312"/>
          <w:sz w:val="32"/>
          <w:szCs w:val="32"/>
        </w:rPr>
      </w:pPr>
      <w:r>
        <w:rPr>
          <w:rFonts w:hint="eastAsia" w:ascii="仿宋_GB2312" w:eastAsia="仿宋_GB2312"/>
          <w:sz w:val="32"/>
          <w:szCs w:val="32"/>
        </w:rPr>
        <w:t>石狮市2022年度时花采购项目绩效重点评价指标体系</w:t>
      </w:r>
    </w:p>
    <w:tbl>
      <w:tblPr>
        <w:tblStyle w:val="12"/>
        <w:tblW w:w="14459" w:type="dxa"/>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5"/>
        <w:gridCol w:w="1276"/>
        <w:gridCol w:w="1559"/>
        <w:gridCol w:w="850"/>
        <w:gridCol w:w="1701"/>
        <w:gridCol w:w="5387"/>
        <w:gridCol w:w="1701"/>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blHeader/>
        </w:trPr>
        <w:tc>
          <w:tcPr>
            <w:tcW w:w="1135" w:type="dxa"/>
            <w:shd w:val="clear" w:color="auto" w:fill="auto"/>
            <w:vAlign w:val="center"/>
          </w:tcPr>
          <w:p>
            <w:pPr>
              <w:widowControl/>
              <w:jc w:val="center"/>
              <w:rPr>
                <w:rFonts w:ascii="宋体" w:hAnsi="宋体" w:cs="宋体"/>
                <w:b/>
                <w:bCs/>
                <w:color w:val="000000"/>
                <w:kern w:val="0"/>
                <w:sz w:val="20"/>
                <w:szCs w:val="20"/>
              </w:rPr>
            </w:pPr>
            <w:bookmarkStart w:id="46" w:name="RANGE!A2"/>
            <w:r>
              <w:rPr>
                <w:rFonts w:hint="eastAsia" w:ascii="宋体" w:hAnsi="宋体" w:cs="宋体"/>
                <w:b/>
                <w:bCs/>
                <w:color w:val="000000"/>
                <w:kern w:val="0"/>
                <w:sz w:val="20"/>
                <w:szCs w:val="20"/>
              </w:rPr>
              <w:t>一级指标</w:t>
            </w:r>
            <w:bookmarkEnd w:id="46"/>
          </w:p>
        </w:tc>
        <w:tc>
          <w:tcPr>
            <w:tcW w:w="1276" w:type="dxa"/>
            <w:shd w:val="clear" w:color="auto" w:fill="auto"/>
            <w:vAlign w:val="center"/>
          </w:tcPr>
          <w:p>
            <w:pPr>
              <w:widowControl/>
              <w:jc w:val="center"/>
              <w:rPr>
                <w:rFonts w:ascii="宋体" w:hAnsi="宋体" w:cs="宋体"/>
                <w:b/>
                <w:bCs/>
                <w:color w:val="000000"/>
                <w:kern w:val="0"/>
                <w:sz w:val="20"/>
                <w:szCs w:val="20"/>
              </w:rPr>
            </w:pPr>
            <w:r>
              <w:rPr>
                <w:rFonts w:hint="eastAsia" w:ascii="宋体" w:hAnsi="宋体" w:cs="宋体"/>
                <w:b/>
                <w:bCs/>
                <w:color w:val="000000"/>
                <w:kern w:val="0"/>
                <w:sz w:val="20"/>
                <w:szCs w:val="20"/>
              </w:rPr>
              <w:t>二级指标</w:t>
            </w:r>
          </w:p>
        </w:tc>
        <w:tc>
          <w:tcPr>
            <w:tcW w:w="1559" w:type="dxa"/>
            <w:shd w:val="clear" w:color="auto" w:fill="auto"/>
            <w:vAlign w:val="center"/>
          </w:tcPr>
          <w:p>
            <w:pPr>
              <w:widowControl/>
              <w:jc w:val="center"/>
              <w:rPr>
                <w:rFonts w:ascii="宋体" w:hAnsi="宋体" w:cs="宋体"/>
                <w:b/>
                <w:bCs/>
                <w:color w:val="000000"/>
                <w:kern w:val="0"/>
                <w:sz w:val="20"/>
                <w:szCs w:val="20"/>
              </w:rPr>
            </w:pPr>
            <w:r>
              <w:rPr>
                <w:rFonts w:hint="eastAsia" w:ascii="宋体" w:hAnsi="宋体" w:cs="宋体"/>
                <w:b/>
                <w:bCs/>
                <w:color w:val="000000"/>
                <w:kern w:val="0"/>
                <w:sz w:val="20"/>
                <w:szCs w:val="20"/>
              </w:rPr>
              <w:t>三级指标</w:t>
            </w:r>
          </w:p>
        </w:tc>
        <w:tc>
          <w:tcPr>
            <w:tcW w:w="850" w:type="dxa"/>
            <w:shd w:val="clear" w:color="auto" w:fill="auto"/>
            <w:noWrap/>
            <w:vAlign w:val="center"/>
          </w:tcPr>
          <w:p>
            <w:pPr>
              <w:widowControl/>
              <w:jc w:val="center"/>
              <w:rPr>
                <w:rFonts w:ascii="宋体" w:hAnsi="宋体" w:cs="宋体"/>
                <w:b/>
                <w:bCs/>
                <w:color w:val="000000"/>
                <w:kern w:val="0"/>
                <w:sz w:val="20"/>
                <w:szCs w:val="20"/>
              </w:rPr>
            </w:pPr>
            <w:r>
              <w:rPr>
                <w:rFonts w:hint="eastAsia" w:ascii="宋体" w:hAnsi="宋体" w:cs="宋体"/>
                <w:b/>
                <w:bCs/>
                <w:color w:val="000000"/>
                <w:kern w:val="0"/>
                <w:sz w:val="20"/>
                <w:szCs w:val="20"/>
              </w:rPr>
              <w:t>分值</w:t>
            </w:r>
          </w:p>
        </w:tc>
        <w:tc>
          <w:tcPr>
            <w:tcW w:w="1701" w:type="dxa"/>
            <w:shd w:val="clear" w:color="auto" w:fill="auto"/>
            <w:vAlign w:val="center"/>
          </w:tcPr>
          <w:p>
            <w:pPr>
              <w:widowControl/>
              <w:jc w:val="center"/>
              <w:rPr>
                <w:rFonts w:ascii="宋体" w:hAnsi="宋体" w:cs="宋体"/>
                <w:b/>
                <w:bCs/>
                <w:color w:val="000000"/>
                <w:kern w:val="0"/>
                <w:sz w:val="20"/>
                <w:szCs w:val="20"/>
              </w:rPr>
            </w:pPr>
            <w:r>
              <w:rPr>
                <w:rFonts w:hint="eastAsia" w:ascii="宋体" w:hAnsi="宋体" w:cs="宋体"/>
                <w:b/>
                <w:bCs/>
                <w:color w:val="000000"/>
                <w:kern w:val="0"/>
                <w:sz w:val="20"/>
                <w:szCs w:val="20"/>
              </w:rPr>
              <w:t>指标解释</w:t>
            </w:r>
          </w:p>
        </w:tc>
        <w:tc>
          <w:tcPr>
            <w:tcW w:w="5387" w:type="dxa"/>
            <w:shd w:val="clear" w:color="auto" w:fill="auto"/>
            <w:vAlign w:val="center"/>
          </w:tcPr>
          <w:p>
            <w:pPr>
              <w:widowControl/>
              <w:jc w:val="center"/>
              <w:rPr>
                <w:rFonts w:ascii="宋体" w:hAnsi="宋体" w:cs="宋体"/>
                <w:b/>
                <w:bCs/>
                <w:color w:val="000000"/>
                <w:kern w:val="0"/>
                <w:sz w:val="20"/>
                <w:szCs w:val="20"/>
              </w:rPr>
            </w:pPr>
            <w:r>
              <w:rPr>
                <w:rFonts w:hint="eastAsia" w:ascii="宋体" w:hAnsi="宋体" w:cs="宋体"/>
                <w:b/>
                <w:bCs/>
                <w:color w:val="000000"/>
                <w:kern w:val="0"/>
                <w:sz w:val="20"/>
                <w:szCs w:val="20"/>
              </w:rPr>
              <w:t>指标说明</w:t>
            </w:r>
          </w:p>
        </w:tc>
        <w:tc>
          <w:tcPr>
            <w:tcW w:w="1701" w:type="dxa"/>
            <w:shd w:val="clear" w:color="auto" w:fill="auto"/>
            <w:vAlign w:val="center"/>
          </w:tcPr>
          <w:p>
            <w:pPr>
              <w:widowControl/>
              <w:jc w:val="center"/>
              <w:rPr>
                <w:rFonts w:ascii="宋体" w:hAnsi="宋体" w:cs="宋体"/>
                <w:b/>
                <w:bCs/>
                <w:color w:val="000000"/>
                <w:kern w:val="0"/>
                <w:sz w:val="20"/>
                <w:szCs w:val="20"/>
              </w:rPr>
            </w:pPr>
            <w:r>
              <w:rPr>
                <w:rFonts w:hint="eastAsia" w:ascii="宋体" w:hAnsi="宋体" w:cs="宋体"/>
                <w:b/>
                <w:bCs/>
                <w:color w:val="000000"/>
                <w:kern w:val="0"/>
                <w:sz w:val="20"/>
                <w:szCs w:val="20"/>
              </w:rPr>
              <w:t>评价标准</w:t>
            </w:r>
          </w:p>
        </w:tc>
        <w:tc>
          <w:tcPr>
            <w:tcW w:w="850" w:type="dxa"/>
            <w:shd w:val="clear" w:color="auto" w:fill="auto"/>
            <w:noWrap/>
            <w:vAlign w:val="center"/>
          </w:tcPr>
          <w:p>
            <w:pPr>
              <w:widowControl/>
              <w:jc w:val="center"/>
              <w:rPr>
                <w:rFonts w:ascii="宋体" w:hAnsi="宋体" w:cs="宋体"/>
                <w:b/>
                <w:bCs/>
                <w:color w:val="000000"/>
                <w:kern w:val="0"/>
                <w:sz w:val="20"/>
                <w:szCs w:val="20"/>
              </w:rPr>
            </w:pPr>
            <w:r>
              <w:rPr>
                <w:rFonts w:hint="eastAsia" w:ascii="宋体" w:hAnsi="宋体" w:cs="宋体"/>
                <w:b/>
                <w:bCs/>
                <w:color w:val="000000"/>
                <w:kern w:val="0"/>
                <w:sz w:val="20"/>
                <w:szCs w:val="20"/>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8" w:hRule="atLeast"/>
        </w:trPr>
        <w:tc>
          <w:tcPr>
            <w:tcW w:w="1135" w:type="dxa"/>
            <w:vMerge w:val="restart"/>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A决策</w:t>
            </w:r>
          </w:p>
          <w:p>
            <w:pPr>
              <w:widowControl/>
              <w:jc w:val="center"/>
              <w:rPr>
                <w:rFonts w:ascii="宋体" w:hAnsi="宋体" w:cs="宋体"/>
                <w:color w:val="000000"/>
                <w:kern w:val="0"/>
                <w:sz w:val="20"/>
                <w:szCs w:val="20"/>
              </w:rPr>
            </w:pPr>
            <w:r>
              <w:rPr>
                <w:rFonts w:hint="eastAsia" w:ascii="宋体" w:hAnsi="宋体" w:cs="宋体"/>
                <w:color w:val="000000"/>
                <w:kern w:val="0"/>
                <w:sz w:val="20"/>
                <w:szCs w:val="20"/>
              </w:rPr>
              <w:t>(10分)</w:t>
            </w:r>
          </w:p>
        </w:tc>
        <w:tc>
          <w:tcPr>
            <w:tcW w:w="1276" w:type="dxa"/>
            <w:vMerge w:val="restart"/>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A1项目立项</w:t>
            </w: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A11立项依据充分性</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1.5</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项目立项是否符合法律法规、相关政策、发展规划以及部门职责，用以反映和考核项目立项依据情况。</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①项目立项是否符合国家法律法规、国民经济发展规划和相关政策；</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②项目立项是否符合行业发展规划和政策要求；</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③项目立项是否与部门职责范围相符，属于部门履职所需；</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④项目是否属于公共财政支持范围，是否符合中央、地方事权支出责任划分原则；</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⑤项目是否与相关部门同类项目或部门内部相关项目重复。</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符合一个要点得0.3分,满分1.5分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6"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A12立项程序</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规范性</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1.5</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项目申请、设立过程是否符合相关要求，用以反映和考核项目立项的规范情况。</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①项目是否按照规定的程序申请设立；</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②审批文件、材料是否符合相关要求；</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③事前是否已经过必要的可行性研究、专家论证、风险评估、绩效评估、集体决策。</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符合一个要点得0.5分,满分1.5分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8"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restart"/>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A2绩效目标</w:t>
            </w: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A21绩效目标合理性</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项目所设定的绩效目标是否依据充分，是否符合客观实际，用以反映和考核项目绩效目标与项目实施的相符情况。</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①项目是否有绩效目标；</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②项目绩效目标与实际工作内容是否具有相关性；</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③项目预期产出效益和效果是否符合正常的业绩水平；</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④项目是否为促进事业发展所必需。</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符合一个要点得0.5分,满分2分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2"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A22绩效指标明确性</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依据绩效目标设定的绩效指标是否清晰、细化、可衡量等，用以反映和考核项目绩效目标的明细化情况。</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①是否将项目绩效目标细化分解为具体的绩效指标；</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②是否通过清晰、可衡量的指标值予以体现；</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③是否与项目年度任务数或计划数相对应；</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④是否与预算确定的项目投资额或资金量相匹配。</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符合一个要点得0.5分,满分2分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6"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restart"/>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A3资金投入</w:t>
            </w: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A31预算编制科学性</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项目预算编制是否经过科学论证、有明确标准，资金额度与年度目标是否相适应，用以反映和考核项目预算编制的科学性、合理性情况。</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①预算编制是否经过科学论证；</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②预算内容与项目内容是否匹配；</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③预算额度测算依据是否充分，是否按照标准编制；</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④预算确定的项目投资额或资金量是否与工作任务相匹配。</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符合一个要点得0.5分,满分2分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4"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A32资金分配合理性</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项目预算资金分配是否有测算依据，与补助单位或地方实际是否相适应，用以反映和考核项目预算资金分配的科学性、合理性情况。</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①预算资金分配依据是否充分；</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②资金分配额度是否合理，与项目单位或地方实际是否相适应。</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符合一个要点得0.5分,满分1分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4" w:hRule="atLeast"/>
        </w:trPr>
        <w:tc>
          <w:tcPr>
            <w:tcW w:w="1135" w:type="dxa"/>
            <w:vMerge w:val="restart"/>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B过程（25分）</w:t>
            </w:r>
          </w:p>
        </w:tc>
        <w:tc>
          <w:tcPr>
            <w:tcW w:w="1276" w:type="dxa"/>
            <w:vMerge w:val="restart"/>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B1资金管理</w:t>
            </w: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B11资金到位率</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实际到位资金与预算资金的比率，用以反映和考核资金落实情况对项目实施的总体保障程度。</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资金到位率=（实际到位资金/预算资金）×100%。</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实际到位资金：一定时期（本年度或项目期）内落实到具体项目的资金。</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预算资金：一定时期（本年度或项目期）内预算安排到具体项目的资金。</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该项分值4分。得分=资金到位率*分值。到位率低于50%时，本指标不得分。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4"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B12预算执行率</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3</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项目预算资金是否按照计划执行，用以反映或考核项目预算执行情况。</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预算执行率=（实际支出资金/实际到位资金）×100%。</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实际支出资金：一定时期（本年度或项目期）内项目实际拨付的资金。</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该项分值3分。得分=预算执行率*分值。预算执行率低于50%时，本指标不得分。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6"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B13资金使用合规性</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项目资金使用是否符合相关的财务管理制度规定，用以反映和考核项目资金的规范运行情况。</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①是否符合国家财经法规和财务管理制度以及有关专项资金管理办法的规定；</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②资金的拨付是否有完整的审批程序和手续；</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③是否符合项目预算批复或合同规定的用途；</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④是否存在截留、挤占、挪用、虚列支出等情况。</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符合一个要点得0.5分,满分2分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restart"/>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B2组织实施</w:t>
            </w: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B21单位管理制度健全性</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项目实施单位的财务和业务管理制度是否健全，用以反映和考核财务和业务管理制度对项目顺利实施的保障情况。</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①是否已制定或具有相应的财务和业务管理制度；</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②财务和业务管理制度是否合法、合规、完整。</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符合一个要点得2分,满分4分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8"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B22供应商考核管理制度健全性</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项目实施单位针对供应商的考核管理制度是否健全，用以反映和考核对项目顺利实施的保障情况。</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①是否已制定供应商考核管理制度；</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②制度是否细致、明确，便于考核。</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符合一个要点得2分,满分4分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B23制度执行有效性</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3</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项目实施是否符合单位管理制度、供应商管理制度的相关规定，用以反映和考核相关管理制度的有效执行情况。</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①单位相关制度是否得到有效执行；</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②针对供应商的管理制度是否得到有效执行。</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符合一个要点得1.5分,满分3分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0"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B24政府采购方式和程序合规性</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1.5</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采购实施是否符合相关管理规定，用以反映和考核采购执行情况。</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①程序执行是否合法规范；</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②采购公告和采购文件是否按相关规定发布，采购文件是否免费获取；</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③政府采购方式选择是否合规。</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符合一个要点得0.5分,满分1.5分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6"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B25政府采购政策执行情况</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是否实施相关采购政策，用以反映和考核政府采购政策执行情况。</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①采购文件是否提及、是否执行政府采购环境标志产品政府采购政策；</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②采购文件是否提及、是否执行政府采购促进中小企业发展政策；</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③采购文件是否提及、执行政府采购促进支持监狱企业、残疾人福利性单位政策；</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④是否执行政府采购合同融资政策。</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符合一个要点得0.5分,满分2分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B26政府采购内控管理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1.5</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采购过程中的内部控制，用以反映和考核政府采购过程中的内控管理执行情况。</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①是否委派本单位人员作为采购人代表参加评审；</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②评审是否按法定程序组成；</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③是否因评审中存在倾向性或指定性情况导致举报、投诉等。</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符合一个要点得0.5分,满分1.5分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8" w:hRule="atLeast"/>
        </w:trPr>
        <w:tc>
          <w:tcPr>
            <w:tcW w:w="1135" w:type="dxa"/>
            <w:vMerge w:val="restart"/>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C产出（40分）</w:t>
            </w:r>
          </w:p>
        </w:tc>
        <w:tc>
          <w:tcPr>
            <w:tcW w:w="1276" w:type="dxa"/>
            <w:vMerge w:val="restart"/>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C1产出数量</w:t>
            </w: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C11采购数量完成率</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701" w:type="dxa"/>
            <w:vMerge w:val="restart"/>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项目实施的实际产出数与计划产出数的比率，用以反映和考核项目产出数量目标的实现程度。</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采购数量完成率=（实际采购数量/计划采购数量）×100%</w:t>
            </w:r>
          </w:p>
        </w:tc>
        <w:tc>
          <w:tcPr>
            <w:tcW w:w="1701" w:type="dxa"/>
            <w:vMerge w:val="restart"/>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该项分值4分。完成或超过年初绩效目标得4分；否则，得分=实际完成率*分值，实际完成低于年初目标的50%的不得分。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C12时花存活率</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701" w:type="dxa"/>
            <w:vMerge w:val="continue"/>
            <w:vAlign w:val="center"/>
          </w:tcPr>
          <w:p>
            <w:pPr>
              <w:widowControl/>
              <w:jc w:val="left"/>
              <w:rPr>
                <w:rFonts w:ascii="宋体" w:hAnsi="宋体" w:cs="宋体"/>
                <w:color w:val="000000"/>
                <w:kern w:val="0"/>
                <w:sz w:val="20"/>
                <w:szCs w:val="20"/>
              </w:rPr>
            </w:pP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实际完成率=（实际产出数/计划产出数）×100%</w:t>
            </w:r>
          </w:p>
        </w:tc>
        <w:tc>
          <w:tcPr>
            <w:tcW w:w="1701" w:type="dxa"/>
            <w:vMerge w:val="continue"/>
            <w:vAlign w:val="center"/>
          </w:tcPr>
          <w:p>
            <w:pPr>
              <w:widowControl/>
              <w:jc w:val="left"/>
              <w:rPr>
                <w:rFonts w:ascii="宋体" w:hAnsi="宋体" w:cs="宋体"/>
                <w:color w:val="000000"/>
                <w:kern w:val="0"/>
                <w:sz w:val="20"/>
                <w:szCs w:val="20"/>
              </w:rPr>
            </w:pP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C13时花更换次数</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701" w:type="dxa"/>
            <w:vMerge w:val="continue"/>
            <w:vAlign w:val="center"/>
          </w:tcPr>
          <w:p>
            <w:pPr>
              <w:widowControl/>
              <w:jc w:val="left"/>
              <w:rPr>
                <w:rFonts w:ascii="宋体" w:hAnsi="宋体" w:cs="宋体"/>
                <w:color w:val="000000"/>
                <w:kern w:val="0"/>
                <w:sz w:val="20"/>
                <w:szCs w:val="20"/>
              </w:rPr>
            </w:pP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实际完成率=（实际产出数/计划产出数）×100%</w:t>
            </w:r>
          </w:p>
        </w:tc>
        <w:tc>
          <w:tcPr>
            <w:tcW w:w="1701" w:type="dxa"/>
            <w:vMerge w:val="continue"/>
            <w:vAlign w:val="center"/>
          </w:tcPr>
          <w:p>
            <w:pPr>
              <w:widowControl/>
              <w:jc w:val="left"/>
              <w:rPr>
                <w:rFonts w:ascii="宋体" w:hAnsi="宋体" w:cs="宋体"/>
                <w:color w:val="000000"/>
                <w:kern w:val="0"/>
                <w:sz w:val="20"/>
                <w:szCs w:val="20"/>
              </w:rPr>
            </w:pP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8"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C14摆放路段完成情况</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701" w:type="dxa"/>
            <w:vMerge w:val="continue"/>
            <w:vAlign w:val="center"/>
          </w:tcPr>
          <w:p>
            <w:pPr>
              <w:widowControl/>
              <w:jc w:val="left"/>
              <w:rPr>
                <w:rFonts w:ascii="宋体" w:hAnsi="宋体" w:cs="宋体"/>
                <w:color w:val="000000"/>
                <w:kern w:val="0"/>
                <w:sz w:val="20"/>
                <w:szCs w:val="20"/>
              </w:rPr>
            </w:pP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①是否完成对规定路段的时花摆放；</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②摆放路段是否达到项目预期效果。</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符合一个要点得2分,满分4分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6"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restart"/>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C2产出质量</w:t>
            </w: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C21采购执行效率</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701" w:type="dxa"/>
            <w:vMerge w:val="restart"/>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项目完成的质量达标产出数与实际产出数的比率，用以反映和考核项目产出质量目标的实现程度。</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①是否按照法定程序开标、评标；</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②是否在中标（成交）供应商确认之日起2个工作日内进行公示；</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③是否在中标（成交）通知书发出之日起30日内进行合同签订；</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④是否在合同签订之日起2个工作日内进行公示。</w:t>
            </w:r>
          </w:p>
        </w:tc>
        <w:tc>
          <w:tcPr>
            <w:tcW w:w="1701" w:type="dxa"/>
            <w:shd w:val="clear" w:color="auto" w:fill="auto"/>
            <w:vAlign w:val="center"/>
          </w:tcPr>
          <w:p>
            <w:pPr>
              <w:widowControl/>
              <w:rPr>
                <w:rFonts w:ascii="宋体" w:hAnsi="宋体" w:cs="宋体"/>
                <w:color w:val="000000"/>
                <w:kern w:val="0"/>
                <w:sz w:val="20"/>
                <w:szCs w:val="20"/>
              </w:rPr>
            </w:pPr>
            <w:r>
              <w:rPr>
                <w:rFonts w:hint="eastAsia" w:ascii="宋体" w:hAnsi="宋体" w:cs="宋体"/>
                <w:color w:val="000000"/>
                <w:kern w:val="0"/>
                <w:sz w:val="20"/>
                <w:szCs w:val="20"/>
              </w:rPr>
              <w:t>该项分值4分。发现一个问题点扣1分，扣完为止。</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C22合同履约情况</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701" w:type="dxa"/>
            <w:vMerge w:val="continue"/>
            <w:vAlign w:val="center"/>
          </w:tcPr>
          <w:p>
            <w:pPr>
              <w:widowControl/>
              <w:jc w:val="left"/>
              <w:rPr>
                <w:rFonts w:ascii="宋体" w:hAnsi="宋体" w:cs="宋体"/>
                <w:color w:val="000000"/>
                <w:kern w:val="0"/>
                <w:sz w:val="20"/>
                <w:szCs w:val="20"/>
              </w:rPr>
            </w:pP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①考核履约验收情况是否合规；</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②履约付款是否符合合同约定。</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该项分值4分。发现一个问题点扣2分，扣完为止。</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4"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C23项目执行过程管理情况</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701" w:type="dxa"/>
            <w:vMerge w:val="continue"/>
            <w:vAlign w:val="center"/>
          </w:tcPr>
          <w:p>
            <w:pPr>
              <w:widowControl/>
              <w:jc w:val="left"/>
              <w:rPr>
                <w:rFonts w:ascii="宋体" w:hAnsi="宋体" w:cs="宋体"/>
                <w:color w:val="000000"/>
                <w:kern w:val="0"/>
                <w:sz w:val="20"/>
                <w:szCs w:val="20"/>
              </w:rPr>
            </w:pP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①项目档案资料是否完整；</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②项目实施过程中出现的问题是否进行文字记录并留存备查。</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该项分值4分。发现一个问题点扣2分，扣完为止。</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C24供应商质量</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701" w:type="dxa"/>
            <w:vMerge w:val="continue"/>
            <w:vAlign w:val="center"/>
          </w:tcPr>
          <w:p>
            <w:pPr>
              <w:widowControl/>
              <w:jc w:val="left"/>
              <w:rPr>
                <w:rFonts w:ascii="宋体" w:hAnsi="宋体" w:cs="宋体"/>
                <w:color w:val="000000"/>
                <w:kern w:val="0"/>
                <w:sz w:val="20"/>
                <w:szCs w:val="20"/>
              </w:rPr>
            </w:pP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①供应商提供的花卉质量是否符合约定；</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②供应商提供的花卉价格是否符合约定；</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③供应商是否在约定的时间内供应花卉；</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④供应商提供的服务质量是否符合约定。</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该项分值4分。发现一个问题点扣1分，扣完为止。</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C25采购品种</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701" w:type="dxa"/>
            <w:vMerge w:val="continue"/>
            <w:vAlign w:val="center"/>
          </w:tcPr>
          <w:p>
            <w:pPr>
              <w:widowControl/>
              <w:jc w:val="left"/>
              <w:rPr>
                <w:rFonts w:ascii="宋体" w:hAnsi="宋体" w:cs="宋体"/>
                <w:color w:val="000000"/>
                <w:kern w:val="0"/>
                <w:sz w:val="20"/>
                <w:szCs w:val="20"/>
              </w:rPr>
            </w:pP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①是否明确约定花卉品种；</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②是否按约定的品种供应花卉。</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该项分值4分。发现一个问题点扣2分，扣完为止。</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2"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C3产出时限</w:t>
            </w: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C31采购及时率</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项目实际完成时间与计划完成时间的比较，用以反映和考核项目产出时效目标的实现程度。</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 xml:space="preserve">是否按时完成采购情况 </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该项分值2分。发现一个问题点扣1分，扣完为止。</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C4产出成本</w:t>
            </w: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C41成本节约率</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项目实际成本与计划成本的比率，用以反映和考核项目的成本节约程度。</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考核采购成本节约情况</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成本节约率=[（计划成本-实际成本）/计划成本]×100%。</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该项分值2分。成本节约率≥0，得满分。成本节约率&lt;0，每偏离10%，扣1分，扣完为止。</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4" w:hRule="atLeast"/>
        </w:trPr>
        <w:tc>
          <w:tcPr>
            <w:tcW w:w="1135" w:type="dxa"/>
            <w:vMerge w:val="restart"/>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D效益（25分）</w:t>
            </w:r>
          </w:p>
        </w:tc>
        <w:tc>
          <w:tcPr>
            <w:tcW w:w="1276" w:type="dxa"/>
            <w:vMerge w:val="restart"/>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D1实施效益</w:t>
            </w: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D11美化环境、提升生活品质的效果</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10</w:t>
            </w:r>
          </w:p>
        </w:tc>
        <w:tc>
          <w:tcPr>
            <w:tcW w:w="1701" w:type="dxa"/>
            <w:vMerge w:val="restart"/>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项目实施所产生的效益。</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w:t>
            </w:r>
            <w:r>
              <w:rPr>
                <w:rFonts w:hint="eastAsia" w:ascii="宋体" w:hAnsi="宋体" w:cs="宋体"/>
                <w:color w:val="000000"/>
                <w:kern w:val="0"/>
                <w:sz w:val="20"/>
                <w:szCs w:val="20"/>
              </w:rPr>
              <w:br w:type="textWrapping"/>
            </w:r>
            <w:r>
              <w:rPr>
                <w:rFonts w:hint="eastAsia" w:ascii="宋体" w:hAnsi="宋体" w:cs="宋体"/>
                <w:color w:val="000000"/>
                <w:kern w:val="0"/>
                <w:sz w:val="20"/>
                <w:szCs w:val="20"/>
              </w:rPr>
              <w:t>根据满意度问卷调查结果</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该项目分值10分。满意度每减1%扣0.25分，不足1%按1%算，满意度低于一般（即60%）不得分。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9.25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0"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vMerge w:val="continue"/>
            <w:vAlign w:val="center"/>
          </w:tcPr>
          <w:p>
            <w:pPr>
              <w:widowControl/>
              <w:jc w:val="left"/>
              <w:rPr>
                <w:rFonts w:ascii="宋体" w:hAnsi="宋体" w:cs="宋体"/>
                <w:color w:val="000000"/>
                <w:kern w:val="0"/>
                <w:sz w:val="20"/>
                <w:szCs w:val="20"/>
              </w:rPr>
            </w:pP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D12绿化景观面貌优良率</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5</w:t>
            </w:r>
          </w:p>
        </w:tc>
        <w:tc>
          <w:tcPr>
            <w:tcW w:w="1701" w:type="dxa"/>
            <w:vMerge w:val="continue"/>
            <w:vAlign w:val="center"/>
          </w:tcPr>
          <w:p>
            <w:pPr>
              <w:widowControl/>
              <w:jc w:val="left"/>
              <w:rPr>
                <w:rFonts w:ascii="宋体" w:hAnsi="宋体" w:cs="宋体"/>
                <w:color w:val="000000"/>
                <w:kern w:val="0"/>
                <w:sz w:val="20"/>
                <w:szCs w:val="20"/>
              </w:rPr>
            </w:pP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评价要点：考核项目单位提供的服务为绿化景观面貌带来的正面影响</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该项分值</w:t>
            </w:r>
            <w:r>
              <w:rPr>
                <w:rFonts w:ascii="宋体" w:hAnsi="宋体" w:cs="宋体"/>
                <w:color w:val="000000"/>
                <w:kern w:val="0"/>
                <w:sz w:val="20"/>
                <w:szCs w:val="20"/>
              </w:rPr>
              <w:t>5</w:t>
            </w:r>
            <w:r>
              <w:rPr>
                <w:rFonts w:hint="eastAsia" w:ascii="宋体" w:hAnsi="宋体" w:cs="宋体"/>
                <w:color w:val="000000"/>
                <w:kern w:val="0"/>
                <w:sz w:val="20"/>
                <w:szCs w:val="20"/>
              </w:rPr>
              <w:t>分。绿化景观面貌优良率达95%及以上，得满分；每低1%，扣1</w:t>
            </w:r>
            <w:r>
              <w:rPr>
                <w:rFonts w:hint="eastAsia" w:ascii="宋体" w:hAnsi="宋体" w:cs="宋体"/>
                <w:color w:val="000000"/>
                <w:kern w:val="0"/>
                <w:sz w:val="20"/>
                <w:szCs w:val="20"/>
                <w:lang w:eastAsia="zh-CN"/>
              </w:rPr>
              <w:t>分</w:t>
            </w:r>
            <w:r>
              <w:rPr>
                <w:rFonts w:hint="eastAsia" w:ascii="宋体" w:hAnsi="宋体" w:cs="宋体"/>
                <w:color w:val="000000"/>
                <w:kern w:val="0"/>
                <w:sz w:val="20"/>
                <w:szCs w:val="20"/>
              </w:rPr>
              <w:t>，不足1%，按1%计算。扣完为止。</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6" w:hRule="atLeast"/>
        </w:trPr>
        <w:tc>
          <w:tcPr>
            <w:tcW w:w="1135" w:type="dxa"/>
            <w:vMerge w:val="continue"/>
            <w:vAlign w:val="center"/>
          </w:tcPr>
          <w:p>
            <w:pPr>
              <w:widowControl/>
              <w:jc w:val="left"/>
              <w:rPr>
                <w:rFonts w:ascii="宋体" w:hAnsi="宋体" w:cs="宋体"/>
                <w:color w:val="000000"/>
                <w:kern w:val="0"/>
                <w:sz w:val="20"/>
                <w:szCs w:val="20"/>
              </w:rPr>
            </w:pPr>
          </w:p>
        </w:tc>
        <w:tc>
          <w:tcPr>
            <w:tcW w:w="1276"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D2满意度</w:t>
            </w: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D21市民、群众满意度</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10</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社会公众或服务对象因该项目实施而受到影响。一般采取社会调查的方式。</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评价要点：以社会调查的方式，获得社会公众对本项目的满意程度。</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该项目分值10分。满意度每减1%扣0.25分，不足1%按1%算，综合满意度低于一般（即60%）不得分。</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2" w:hRule="atLeast"/>
        </w:trPr>
        <w:tc>
          <w:tcPr>
            <w:tcW w:w="1135" w:type="dxa"/>
            <w:shd w:val="clear" w:color="auto" w:fill="auto"/>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合计</w:t>
            </w:r>
          </w:p>
        </w:tc>
        <w:tc>
          <w:tcPr>
            <w:tcW w:w="1276"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　</w:t>
            </w:r>
          </w:p>
        </w:tc>
        <w:tc>
          <w:tcPr>
            <w:tcW w:w="1559"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　</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100</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　</w:t>
            </w:r>
          </w:p>
        </w:tc>
        <w:tc>
          <w:tcPr>
            <w:tcW w:w="5387"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　</w:t>
            </w:r>
          </w:p>
        </w:tc>
        <w:tc>
          <w:tcPr>
            <w:tcW w:w="1701" w:type="dxa"/>
            <w:shd w:val="clear" w:color="auto" w:fill="auto"/>
            <w:vAlign w:val="center"/>
          </w:tcPr>
          <w:p>
            <w:pPr>
              <w:widowControl/>
              <w:jc w:val="left"/>
              <w:rPr>
                <w:rFonts w:ascii="宋体" w:hAnsi="宋体" w:cs="宋体"/>
                <w:color w:val="000000"/>
                <w:kern w:val="0"/>
                <w:sz w:val="20"/>
                <w:szCs w:val="20"/>
              </w:rPr>
            </w:pPr>
            <w:r>
              <w:rPr>
                <w:rFonts w:hint="eastAsia" w:ascii="宋体" w:hAnsi="宋体" w:cs="宋体"/>
                <w:color w:val="000000"/>
                <w:kern w:val="0"/>
                <w:sz w:val="20"/>
                <w:szCs w:val="20"/>
              </w:rPr>
              <w:t>　</w:t>
            </w:r>
          </w:p>
        </w:tc>
        <w:tc>
          <w:tcPr>
            <w:tcW w:w="850" w:type="dxa"/>
            <w:shd w:val="clear" w:color="auto" w:fill="auto"/>
            <w:noWrap/>
            <w:vAlign w:val="center"/>
          </w:tcPr>
          <w:p>
            <w:pPr>
              <w:widowControl/>
              <w:jc w:val="center"/>
              <w:rPr>
                <w:rFonts w:ascii="宋体" w:hAnsi="宋体" w:cs="宋体"/>
                <w:color w:val="000000"/>
                <w:kern w:val="0"/>
                <w:sz w:val="20"/>
                <w:szCs w:val="20"/>
              </w:rPr>
            </w:pPr>
            <w:r>
              <w:rPr>
                <w:rFonts w:hint="eastAsia" w:ascii="宋体" w:hAnsi="宋体" w:cs="宋体"/>
                <w:color w:val="000000"/>
                <w:kern w:val="0"/>
                <w:sz w:val="20"/>
                <w:szCs w:val="20"/>
              </w:rPr>
              <w:t>78.23</w:t>
            </w:r>
          </w:p>
        </w:tc>
      </w:tr>
    </w:tbl>
    <w:p>
      <w:pPr>
        <w:spacing w:line="560" w:lineRule="exact"/>
        <w:jc w:val="center"/>
        <w:rPr>
          <w:rFonts w:ascii="仿宋_GB2312" w:eastAsia="仿宋_GB2312"/>
          <w:sz w:val="32"/>
          <w:szCs w:val="32"/>
        </w:rPr>
      </w:pPr>
    </w:p>
    <w:p>
      <w:pPr>
        <w:spacing w:line="560" w:lineRule="exact"/>
        <w:rPr>
          <w:rFonts w:ascii="仿宋_GB2312" w:eastAsia="仿宋_GB2312"/>
          <w:sz w:val="32"/>
          <w:szCs w:val="32"/>
        </w:rPr>
        <w:sectPr>
          <w:pgSz w:w="16838" w:h="11906" w:orient="landscape"/>
          <w:pgMar w:top="1800" w:right="1440" w:bottom="1800" w:left="1440" w:header="851" w:footer="992" w:gutter="0"/>
          <w:cols w:space="720" w:num="1"/>
          <w:docGrid w:type="lines" w:linePitch="312" w:charSpace="0"/>
        </w:sectPr>
      </w:pPr>
    </w:p>
    <w:p>
      <w:pPr>
        <w:keepNext/>
        <w:keepLines/>
        <w:spacing w:line="560" w:lineRule="exact"/>
        <w:ind w:firstLine="642" w:firstLineChars="200"/>
        <w:outlineLvl w:val="1"/>
        <w:rPr>
          <w:rFonts w:ascii="黑体" w:hAnsi="黑体" w:eastAsia="楷体"/>
          <w:b/>
          <w:bCs/>
          <w:kern w:val="44"/>
          <w:sz w:val="32"/>
          <w:szCs w:val="30"/>
        </w:rPr>
      </w:pPr>
      <w:bookmarkStart w:id="47" w:name="_Toc142062826"/>
      <w:bookmarkStart w:id="48" w:name="_Hlk106786047"/>
      <w:r>
        <w:rPr>
          <w:rFonts w:hint="eastAsia" w:ascii="黑体" w:hAnsi="黑体" w:eastAsia="楷体"/>
          <w:b/>
          <w:bCs/>
          <w:kern w:val="44"/>
          <w:sz w:val="32"/>
          <w:szCs w:val="30"/>
        </w:rPr>
        <w:t>附件（二）满意度</w:t>
      </w:r>
      <w:r>
        <w:rPr>
          <w:rFonts w:ascii="黑体" w:hAnsi="黑体" w:eastAsia="楷体"/>
          <w:b/>
          <w:bCs/>
          <w:kern w:val="44"/>
          <w:sz w:val="32"/>
          <w:szCs w:val="30"/>
        </w:rPr>
        <w:t>调查问卷</w:t>
      </w:r>
      <w:bookmarkEnd w:id="47"/>
    </w:p>
    <w:p>
      <w:pPr>
        <w:spacing w:before="312" w:beforeLines="100" w:line="560" w:lineRule="exact"/>
        <w:jc w:val="center"/>
        <w:rPr>
          <w:rFonts w:ascii="宋体" w:hAnsi="宋体"/>
          <w:sz w:val="32"/>
          <w:szCs w:val="32"/>
        </w:rPr>
      </w:pPr>
      <w:r>
        <w:rPr>
          <w:rFonts w:hint="eastAsia" w:ascii="宋体" w:hAnsi="宋体"/>
          <w:sz w:val="32"/>
          <w:szCs w:val="32"/>
        </w:rPr>
        <w:t>石狮市2022年度时花采购项目满意度调查问卷</w:t>
      </w:r>
    </w:p>
    <w:bookmarkEnd w:id="48"/>
    <w:p>
      <w:pPr>
        <w:snapToGrid w:val="0"/>
        <w:spacing w:line="560" w:lineRule="exact"/>
        <w:ind w:firstLine="560" w:firstLineChars="200"/>
        <w:rPr>
          <w:rFonts w:ascii="宋体" w:hAnsi="宋体"/>
          <w:bCs/>
          <w:sz w:val="28"/>
          <w:szCs w:val="28"/>
        </w:rPr>
      </w:pPr>
      <w:r>
        <w:rPr>
          <w:rFonts w:hint="eastAsia" w:ascii="宋体" w:hAnsi="宋体"/>
          <w:bCs/>
          <w:sz w:val="28"/>
          <w:szCs w:val="28"/>
        </w:rPr>
        <w:t>尊敬的居民：</w:t>
      </w:r>
    </w:p>
    <w:p>
      <w:pPr>
        <w:snapToGrid w:val="0"/>
        <w:spacing w:line="560" w:lineRule="exact"/>
        <w:ind w:firstLine="560" w:firstLineChars="200"/>
        <w:rPr>
          <w:rFonts w:ascii="宋体" w:hAnsi="宋体"/>
          <w:bCs/>
          <w:sz w:val="28"/>
          <w:szCs w:val="28"/>
        </w:rPr>
      </w:pPr>
      <w:r>
        <w:rPr>
          <w:rFonts w:hint="eastAsia" w:ascii="宋体" w:hAnsi="宋体"/>
          <w:bCs/>
          <w:sz w:val="28"/>
          <w:szCs w:val="28"/>
        </w:rPr>
        <w:t>我们是受石狮市财政局委托的第三方绩效评价小组（恒</w:t>
      </w:r>
      <w:r>
        <w:rPr>
          <w:rFonts w:hint="eastAsia" w:ascii="宋体" w:hAnsi="宋体" w:cs="微软雅黑"/>
          <w:bCs/>
          <w:sz w:val="28"/>
          <w:szCs w:val="28"/>
        </w:rPr>
        <w:t>璟</w:t>
      </w:r>
      <w:r>
        <w:rPr>
          <w:rFonts w:hint="eastAsia" w:ascii="宋体" w:hAnsi="宋体"/>
          <w:bCs/>
          <w:sz w:val="28"/>
          <w:szCs w:val="28"/>
        </w:rPr>
        <w:t>顾问），为准确评价财政资金在石狮市2022年度时花采购项目的社会效益状况，对时花采购项目预算支出进行评价。我们组织这次满意度问卷调查，希望得到您的大力支持。请您仔细阅读每一题,根据您的体验和感受，在您认为最符合的空格中打“√”。本问卷采取匿名填写，保密是我们应尽的职责，请如实填写，谨此衷心感谢！</w:t>
      </w:r>
    </w:p>
    <w:p>
      <w:pPr>
        <w:snapToGrid w:val="0"/>
        <w:spacing w:line="560" w:lineRule="exact"/>
        <w:ind w:firstLine="560" w:firstLineChars="200"/>
        <w:rPr>
          <w:rFonts w:ascii="宋体" w:hAnsi="宋体"/>
          <w:bCs/>
          <w:sz w:val="28"/>
          <w:szCs w:val="28"/>
        </w:rPr>
      </w:pPr>
      <w:r>
        <w:rPr>
          <w:rFonts w:hint="eastAsia" w:ascii="宋体" w:hAnsi="宋体"/>
          <w:bCs/>
          <w:sz w:val="28"/>
          <w:szCs w:val="28"/>
        </w:rPr>
        <w:t>祝您安康！</w:t>
      </w:r>
    </w:p>
    <w:p>
      <w:pPr>
        <w:snapToGrid w:val="0"/>
        <w:spacing w:line="560" w:lineRule="exact"/>
        <w:ind w:firstLine="560" w:firstLineChars="200"/>
        <w:rPr>
          <w:rFonts w:ascii="宋体" w:hAnsi="宋体"/>
          <w:bCs/>
          <w:sz w:val="28"/>
          <w:szCs w:val="28"/>
        </w:rPr>
      </w:pPr>
      <w:r>
        <w:rPr>
          <w:rFonts w:hint="eastAsia" w:ascii="宋体" w:hAnsi="宋体"/>
          <w:bCs/>
          <w:sz w:val="28"/>
          <w:szCs w:val="28"/>
        </w:rPr>
        <w:t>非常满意</w:t>
      </w:r>
      <w:r>
        <w:rPr>
          <w:rFonts w:ascii="宋体" w:hAnsi="宋体"/>
          <w:bCs/>
          <w:sz w:val="28"/>
          <w:szCs w:val="28"/>
        </w:rPr>
        <w:t>100</w:t>
      </w:r>
      <w:r>
        <w:rPr>
          <w:rFonts w:hint="eastAsia" w:ascii="宋体" w:hAnsi="宋体"/>
          <w:bCs/>
          <w:sz w:val="28"/>
          <w:szCs w:val="28"/>
        </w:rPr>
        <w:t>%、比较满意</w:t>
      </w:r>
      <w:r>
        <w:rPr>
          <w:rFonts w:ascii="宋体" w:hAnsi="宋体"/>
          <w:bCs/>
          <w:sz w:val="28"/>
          <w:szCs w:val="28"/>
        </w:rPr>
        <w:t>80</w:t>
      </w:r>
      <w:r>
        <w:rPr>
          <w:rFonts w:hint="eastAsia" w:ascii="宋体" w:hAnsi="宋体"/>
          <w:bCs/>
          <w:sz w:val="28"/>
          <w:szCs w:val="28"/>
        </w:rPr>
        <w:t>%、一般</w:t>
      </w:r>
      <w:r>
        <w:rPr>
          <w:rFonts w:ascii="宋体" w:hAnsi="宋体"/>
          <w:bCs/>
          <w:sz w:val="28"/>
          <w:szCs w:val="28"/>
        </w:rPr>
        <w:t>60</w:t>
      </w:r>
      <w:r>
        <w:rPr>
          <w:rFonts w:hint="eastAsia" w:ascii="宋体" w:hAnsi="宋体"/>
          <w:bCs/>
          <w:sz w:val="28"/>
          <w:szCs w:val="28"/>
        </w:rPr>
        <w:t>%、不满意</w:t>
      </w:r>
      <w:r>
        <w:rPr>
          <w:rFonts w:ascii="宋体" w:hAnsi="宋体"/>
          <w:bCs/>
          <w:sz w:val="28"/>
          <w:szCs w:val="28"/>
        </w:rPr>
        <w:t>40</w:t>
      </w:r>
      <w:r>
        <w:rPr>
          <w:rFonts w:hint="eastAsia" w:ascii="宋体" w:hAnsi="宋体"/>
          <w:bCs/>
          <w:sz w:val="28"/>
          <w:szCs w:val="28"/>
        </w:rPr>
        <w:t>%、非常不满意</w:t>
      </w:r>
      <w:r>
        <w:rPr>
          <w:rFonts w:ascii="宋体" w:hAnsi="宋体"/>
          <w:bCs/>
          <w:sz w:val="28"/>
          <w:szCs w:val="28"/>
        </w:rPr>
        <w:t>20</w:t>
      </w:r>
      <w:r>
        <w:rPr>
          <w:rFonts w:hint="eastAsia" w:ascii="宋体" w:hAnsi="宋体"/>
          <w:bCs/>
          <w:sz w:val="28"/>
          <w:szCs w:val="28"/>
        </w:rPr>
        <w:t>%</w:t>
      </w:r>
    </w:p>
    <w:p>
      <w:pPr>
        <w:snapToGrid w:val="0"/>
        <w:spacing w:line="560" w:lineRule="exact"/>
        <w:ind w:firstLine="560" w:firstLineChars="200"/>
        <w:jc w:val="left"/>
        <w:rPr>
          <w:rFonts w:ascii="宋体" w:hAnsi="宋体"/>
          <w:bCs/>
          <w:sz w:val="28"/>
          <w:szCs w:val="28"/>
        </w:rPr>
      </w:pPr>
      <w:r>
        <w:rPr>
          <w:rFonts w:hint="eastAsia" w:ascii="宋体" w:hAnsi="宋体"/>
          <w:bCs/>
          <w:sz w:val="28"/>
          <w:szCs w:val="28"/>
        </w:rPr>
        <w:t>1.您2</w:t>
      </w:r>
      <w:r>
        <w:rPr>
          <w:rFonts w:ascii="宋体" w:hAnsi="宋体"/>
          <w:bCs/>
          <w:sz w:val="28"/>
          <w:szCs w:val="28"/>
        </w:rPr>
        <w:t>022</w:t>
      </w:r>
      <w:r>
        <w:rPr>
          <w:rFonts w:hint="eastAsia" w:ascii="宋体" w:hAnsi="宋体"/>
          <w:bCs/>
          <w:sz w:val="28"/>
          <w:szCs w:val="28"/>
        </w:rPr>
        <w:t>年国庆、元旦等重要节日在人民广场、狮标、红塔湾旅游公路及市区主次干道是否看到过摆放的时花（时花：应季节而开放的花卉）？</w:t>
      </w:r>
    </w:p>
    <w:p>
      <w:pPr>
        <w:snapToGrid w:val="0"/>
        <w:spacing w:line="560" w:lineRule="exact"/>
        <w:ind w:firstLine="560" w:firstLineChars="200"/>
        <w:jc w:val="left"/>
        <w:rPr>
          <w:rFonts w:ascii="宋体" w:hAnsi="宋体"/>
          <w:bCs/>
          <w:sz w:val="28"/>
          <w:szCs w:val="28"/>
        </w:rPr>
      </w:pPr>
      <w:r>
        <w:rPr>
          <w:rFonts w:hint="eastAsia" w:ascii="宋体" w:hAnsi="宋体"/>
          <w:bCs/>
          <w:sz w:val="28"/>
          <w:szCs w:val="28"/>
        </w:rPr>
        <w:t>□是            □否</w:t>
      </w:r>
    </w:p>
    <w:p>
      <w:pPr>
        <w:snapToGrid w:val="0"/>
        <w:spacing w:line="560" w:lineRule="exact"/>
        <w:ind w:firstLine="560" w:firstLineChars="200"/>
        <w:jc w:val="left"/>
        <w:rPr>
          <w:rFonts w:ascii="宋体" w:hAnsi="宋体"/>
          <w:bCs/>
          <w:sz w:val="28"/>
          <w:szCs w:val="28"/>
        </w:rPr>
      </w:pPr>
      <w:r>
        <w:rPr>
          <w:rFonts w:ascii="宋体" w:hAnsi="宋体"/>
          <w:bCs/>
          <w:sz w:val="28"/>
          <w:szCs w:val="28"/>
        </w:rPr>
        <w:t>2</w:t>
      </w:r>
      <w:r>
        <w:rPr>
          <w:rFonts w:hint="eastAsia" w:ascii="宋体" w:hAnsi="宋体"/>
          <w:bCs/>
          <w:sz w:val="28"/>
          <w:szCs w:val="28"/>
        </w:rPr>
        <w:t>.您对时花摆放的时间满意吗？</w:t>
      </w:r>
    </w:p>
    <w:p>
      <w:pPr>
        <w:snapToGrid w:val="0"/>
        <w:spacing w:line="560" w:lineRule="exact"/>
        <w:ind w:firstLine="560" w:firstLineChars="200"/>
        <w:rPr>
          <w:rFonts w:ascii="宋体" w:hAnsi="宋体"/>
          <w:bCs/>
          <w:sz w:val="28"/>
          <w:szCs w:val="28"/>
        </w:rPr>
      </w:pPr>
      <w:r>
        <w:rPr>
          <w:rFonts w:hint="eastAsia" w:ascii="宋体" w:hAnsi="宋体"/>
          <w:bCs/>
          <w:sz w:val="28"/>
          <w:szCs w:val="28"/>
        </w:rPr>
        <w:t>□非常满意100%</w:t>
      </w:r>
      <w:r>
        <w:rPr>
          <w:rFonts w:hint="eastAsia" w:ascii="宋体" w:hAnsi="宋体"/>
          <w:bCs/>
          <w:sz w:val="28"/>
          <w:szCs w:val="28"/>
        </w:rPr>
        <w:tab/>
      </w:r>
      <w:r>
        <w:rPr>
          <w:rFonts w:hint="eastAsia" w:ascii="宋体" w:hAnsi="宋体"/>
          <w:bCs/>
          <w:sz w:val="28"/>
          <w:szCs w:val="28"/>
        </w:rPr>
        <w:t>□比较满意80%</w:t>
      </w:r>
      <w:r>
        <w:rPr>
          <w:rFonts w:hint="eastAsia" w:ascii="宋体" w:hAnsi="宋体"/>
          <w:bCs/>
          <w:sz w:val="28"/>
          <w:szCs w:val="28"/>
        </w:rPr>
        <w:tab/>
      </w:r>
      <w:r>
        <w:rPr>
          <w:rFonts w:hint="eastAsia" w:ascii="宋体" w:hAnsi="宋体"/>
          <w:bCs/>
          <w:sz w:val="28"/>
          <w:szCs w:val="28"/>
        </w:rPr>
        <w:t xml:space="preserve"> □一般60%</w:t>
      </w:r>
      <w:r>
        <w:rPr>
          <w:rFonts w:hint="eastAsia" w:ascii="宋体" w:hAnsi="宋体"/>
          <w:bCs/>
          <w:sz w:val="28"/>
          <w:szCs w:val="28"/>
        </w:rPr>
        <w:tab/>
      </w:r>
      <w:r>
        <w:rPr>
          <w:rFonts w:ascii="宋体" w:hAnsi="宋体"/>
          <w:bCs/>
          <w:sz w:val="28"/>
          <w:szCs w:val="28"/>
        </w:rPr>
        <w:t xml:space="preserve"> </w:t>
      </w:r>
      <w:r>
        <w:rPr>
          <w:rFonts w:hint="eastAsia" w:ascii="宋体" w:hAnsi="宋体"/>
          <w:bCs/>
          <w:sz w:val="28"/>
          <w:szCs w:val="28"/>
        </w:rPr>
        <w:t>□不满意40%</w:t>
      </w:r>
      <w:r>
        <w:rPr>
          <w:rFonts w:hint="eastAsia" w:ascii="宋体" w:hAnsi="宋体"/>
          <w:bCs/>
          <w:sz w:val="28"/>
          <w:szCs w:val="28"/>
        </w:rPr>
        <w:tab/>
      </w:r>
      <w:r>
        <w:rPr>
          <w:rFonts w:ascii="宋体" w:hAnsi="宋体"/>
          <w:bCs/>
          <w:sz w:val="28"/>
          <w:szCs w:val="28"/>
        </w:rPr>
        <w:t xml:space="preserve"> </w:t>
      </w:r>
      <w:r>
        <w:rPr>
          <w:rFonts w:hint="eastAsia" w:ascii="宋体" w:hAnsi="宋体"/>
          <w:bCs/>
          <w:sz w:val="28"/>
          <w:szCs w:val="28"/>
        </w:rPr>
        <w:t>□非常不满意20%</w:t>
      </w:r>
    </w:p>
    <w:p>
      <w:pPr>
        <w:snapToGrid w:val="0"/>
        <w:spacing w:line="560" w:lineRule="exact"/>
        <w:ind w:firstLine="560" w:firstLineChars="200"/>
        <w:jc w:val="left"/>
        <w:rPr>
          <w:rFonts w:ascii="宋体" w:hAnsi="宋体"/>
          <w:bCs/>
          <w:sz w:val="28"/>
          <w:szCs w:val="28"/>
        </w:rPr>
      </w:pPr>
      <w:r>
        <w:rPr>
          <w:rFonts w:ascii="宋体" w:hAnsi="宋体"/>
          <w:bCs/>
          <w:sz w:val="28"/>
          <w:szCs w:val="28"/>
        </w:rPr>
        <w:t>3</w:t>
      </w:r>
      <w:r>
        <w:rPr>
          <w:rFonts w:hint="eastAsia" w:ascii="宋体" w:hAnsi="宋体"/>
          <w:bCs/>
          <w:sz w:val="28"/>
          <w:szCs w:val="28"/>
        </w:rPr>
        <w:t>. 您对时花摆放的路段或地点满意吗？</w:t>
      </w:r>
    </w:p>
    <w:p>
      <w:pPr>
        <w:snapToGrid w:val="0"/>
        <w:spacing w:line="560" w:lineRule="exact"/>
        <w:ind w:firstLine="560" w:firstLineChars="200"/>
        <w:rPr>
          <w:rFonts w:ascii="宋体" w:hAnsi="宋体"/>
          <w:bCs/>
          <w:sz w:val="28"/>
          <w:szCs w:val="28"/>
        </w:rPr>
      </w:pPr>
      <w:r>
        <w:rPr>
          <w:rFonts w:hint="eastAsia" w:ascii="宋体" w:hAnsi="宋体"/>
          <w:bCs/>
          <w:sz w:val="28"/>
          <w:szCs w:val="28"/>
        </w:rPr>
        <w:t>□非常满意100%</w:t>
      </w:r>
      <w:r>
        <w:rPr>
          <w:rFonts w:hint="eastAsia" w:ascii="宋体" w:hAnsi="宋体"/>
          <w:bCs/>
          <w:sz w:val="28"/>
          <w:szCs w:val="28"/>
        </w:rPr>
        <w:tab/>
      </w:r>
      <w:r>
        <w:rPr>
          <w:rFonts w:hint="eastAsia" w:ascii="宋体" w:hAnsi="宋体"/>
          <w:bCs/>
          <w:sz w:val="28"/>
          <w:szCs w:val="28"/>
        </w:rPr>
        <w:t>□比较满意80%</w:t>
      </w:r>
      <w:r>
        <w:rPr>
          <w:rFonts w:hint="eastAsia" w:ascii="宋体" w:hAnsi="宋体"/>
          <w:bCs/>
          <w:sz w:val="28"/>
          <w:szCs w:val="28"/>
        </w:rPr>
        <w:tab/>
      </w:r>
      <w:r>
        <w:rPr>
          <w:rFonts w:hint="eastAsia" w:ascii="宋体" w:hAnsi="宋体"/>
          <w:bCs/>
          <w:sz w:val="28"/>
          <w:szCs w:val="28"/>
        </w:rPr>
        <w:t xml:space="preserve"> □一般60%</w:t>
      </w:r>
      <w:r>
        <w:rPr>
          <w:rFonts w:hint="eastAsia" w:ascii="宋体" w:hAnsi="宋体"/>
          <w:bCs/>
          <w:sz w:val="28"/>
          <w:szCs w:val="28"/>
        </w:rPr>
        <w:tab/>
      </w:r>
      <w:r>
        <w:rPr>
          <w:rFonts w:hint="eastAsia" w:ascii="宋体" w:hAnsi="宋体"/>
          <w:bCs/>
          <w:sz w:val="28"/>
          <w:szCs w:val="28"/>
        </w:rPr>
        <w:t>□不满意40%</w:t>
      </w:r>
      <w:r>
        <w:rPr>
          <w:rFonts w:hint="eastAsia" w:ascii="宋体" w:hAnsi="宋体"/>
          <w:bCs/>
          <w:sz w:val="28"/>
          <w:szCs w:val="28"/>
        </w:rPr>
        <w:tab/>
      </w:r>
      <w:r>
        <w:rPr>
          <w:rFonts w:ascii="宋体" w:hAnsi="宋体"/>
          <w:bCs/>
          <w:sz w:val="28"/>
          <w:szCs w:val="28"/>
        </w:rPr>
        <w:t xml:space="preserve"> </w:t>
      </w:r>
      <w:r>
        <w:rPr>
          <w:rFonts w:hint="eastAsia" w:ascii="宋体" w:hAnsi="宋体"/>
          <w:bCs/>
          <w:sz w:val="28"/>
          <w:szCs w:val="28"/>
        </w:rPr>
        <w:t>□非常不满意20%</w:t>
      </w:r>
    </w:p>
    <w:p>
      <w:pPr>
        <w:snapToGrid w:val="0"/>
        <w:spacing w:line="560" w:lineRule="exact"/>
        <w:ind w:firstLine="560" w:firstLineChars="200"/>
        <w:jc w:val="left"/>
        <w:rPr>
          <w:rFonts w:ascii="宋体" w:hAnsi="宋体"/>
          <w:bCs/>
          <w:sz w:val="28"/>
          <w:szCs w:val="28"/>
        </w:rPr>
      </w:pPr>
      <w:r>
        <w:rPr>
          <w:rFonts w:ascii="宋体" w:hAnsi="宋体"/>
          <w:bCs/>
          <w:sz w:val="28"/>
          <w:szCs w:val="28"/>
        </w:rPr>
        <w:t>4</w:t>
      </w:r>
      <w:r>
        <w:rPr>
          <w:rFonts w:hint="eastAsia" w:ascii="宋体" w:hAnsi="宋体"/>
          <w:bCs/>
          <w:sz w:val="28"/>
          <w:szCs w:val="28"/>
        </w:rPr>
        <w:t>.您对这些时花的花期长短满意吗？</w:t>
      </w:r>
    </w:p>
    <w:p>
      <w:pPr>
        <w:snapToGrid w:val="0"/>
        <w:spacing w:line="560" w:lineRule="exact"/>
        <w:ind w:firstLine="560" w:firstLineChars="200"/>
        <w:rPr>
          <w:rFonts w:ascii="宋体" w:hAnsi="宋体"/>
          <w:bCs/>
          <w:sz w:val="28"/>
          <w:szCs w:val="28"/>
        </w:rPr>
      </w:pPr>
      <w:r>
        <w:rPr>
          <w:rFonts w:hint="eastAsia" w:ascii="宋体" w:hAnsi="宋体"/>
          <w:bCs/>
          <w:sz w:val="28"/>
          <w:szCs w:val="28"/>
        </w:rPr>
        <w:t>□非常满意100%</w:t>
      </w:r>
      <w:r>
        <w:rPr>
          <w:rFonts w:hint="eastAsia" w:ascii="宋体" w:hAnsi="宋体"/>
          <w:bCs/>
          <w:sz w:val="28"/>
          <w:szCs w:val="28"/>
        </w:rPr>
        <w:tab/>
      </w:r>
      <w:r>
        <w:rPr>
          <w:rFonts w:hint="eastAsia" w:ascii="宋体" w:hAnsi="宋体"/>
          <w:bCs/>
          <w:sz w:val="28"/>
          <w:szCs w:val="28"/>
        </w:rPr>
        <w:t>□比较满意80%</w:t>
      </w:r>
      <w:r>
        <w:rPr>
          <w:rFonts w:hint="eastAsia" w:ascii="宋体" w:hAnsi="宋体"/>
          <w:bCs/>
          <w:sz w:val="28"/>
          <w:szCs w:val="28"/>
        </w:rPr>
        <w:tab/>
      </w:r>
      <w:r>
        <w:rPr>
          <w:rFonts w:hint="eastAsia" w:ascii="宋体" w:hAnsi="宋体"/>
          <w:bCs/>
          <w:sz w:val="28"/>
          <w:szCs w:val="28"/>
        </w:rPr>
        <w:t xml:space="preserve"> □一般60%</w:t>
      </w:r>
      <w:r>
        <w:rPr>
          <w:rFonts w:hint="eastAsia" w:ascii="宋体" w:hAnsi="宋体"/>
          <w:bCs/>
          <w:sz w:val="28"/>
          <w:szCs w:val="28"/>
        </w:rPr>
        <w:tab/>
      </w:r>
      <w:r>
        <w:rPr>
          <w:rFonts w:hint="eastAsia" w:ascii="宋体" w:hAnsi="宋体"/>
          <w:bCs/>
          <w:sz w:val="28"/>
          <w:szCs w:val="28"/>
        </w:rPr>
        <w:t>□不满意40%</w:t>
      </w:r>
      <w:r>
        <w:rPr>
          <w:rFonts w:hint="eastAsia" w:ascii="宋体" w:hAnsi="宋体"/>
          <w:bCs/>
          <w:sz w:val="28"/>
          <w:szCs w:val="28"/>
        </w:rPr>
        <w:tab/>
      </w:r>
      <w:r>
        <w:rPr>
          <w:rFonts w:ascii="宋体" w:hAnsi="宋体"/>
          <w:bCs/>
          <w:sz w:val="28"/>
          <w:szCs w:val="28"/>
        </w:rPr>
        <w:t xml:space="preserve"> </w:t>
      </w:r>
      <w:r>
        <w:rPr>
          <w:rFonts w:hint="eastAsia" w:ascii="宋体" w:hAnsi="宋体"/>
          <w:bCs/>
          <w:sz w:val="28"/>
          <w:szCs w:val="28"/>
        </w:rPr>
        <w:t>□非常不满意20%</w:t>
      </w:r>
    </w:p>
    <w:p>
      <w:pPr>
        <w:snapToGrid w:val="0"/>
        <w:spacing w:line="560" w:lineRule="exact"/>
        <w:ind w:firstLine="560" w:firstLineChars="200"/>
        <w:jc w:val="left"/>
        <w:rPr>
          <w:rFonts w:ascii="宋体" w:hAnsi="宋体"/>
          <w:bCs/>
          <w:sz w:val="28"/>
          <w:szCs w:val="28"/>
        </w:rPr>
      </w:pPr>
      <w:r>
        <w:rPr>
          <w:rFonts w:ascii="宋体" w:hAnsi="宋体"/>
          <w:bCs/>
          <w:sz w:val="28"/>
          <w:szCs w:val="28"/>
        </w:rPr>
        <w:t xml:space="preserve">5. </w:t>
      </w:r>
      <w:r>
        <w:rPr>
          <w:rFonts w:hint="eastAsia" w:ascii="宋体" w:hAnsi="宋体"/>
          <w:bCs/>
          <w:sz w:val="28"/>
          <w:szCs w:val="28"/>
        </w:rPr>
        <w:t>您对时花的数量满意吗？</w:t>
      </w:r>
    </w:p>
    <w:p>
      <w:pPr>
        <w:snapToGrid w:val="0"/>
        <w:spacing w:line="560" w:lineRule="exact"/>
        <w:ind w:firstLine="560" w:firstLineChars="200"/>
        <w:rPr>
          <w:rFonts w:ascii="宋体" w:hAnsi="宋体"/>
          <w:bCs/>
          <w:sz w:val="28"/>
          <w:szCs w:val="28"/>
        </w:rPr>
      </w:pPr>
      <w:r>
        <w:rPr>
          <w:rFonts w:hint="eastAsia" w:ascii="宋体" w:hAnsi="宋体"/>
          <w:bCs/>
          <w:sz w:val="28"/>
          <w:szCs w:val="28"/>
        </w:rPr>
        <w:t>□非常满意100%</w:t>
      </w:r>
      <w:r>
        <w:rPr>
          <w:rFonts w:hint="eastAsia" w:ascii="宋体" w:hAnsi="宋体"/>
          <w:bCs/>
          <w:sz w:val="28"/>
          <w:szCs w:val="28"/>
        </w:rPr>
        <w:tab/>
      </w:r>
      <w:r>
        <w:rPr>
          <w:rFonts w:hint="eastAsia" w:ascii="宋体" w:hAnsi="宋体"/>
          <w:bCs/>
          <w:sz w:val="28"/>
          <w:szCs w:val="28"/>
        </w:rPr>
        <w:t>□比较满意80%</w:t>
      </w:r>
      <w:r>
        <w:rPr>
          <w:rFonts w:hint="eastAsia" w:ascii="宋体" w:hAnsi="宋体"/>
          <w:bCs/>
          <w:sz w:val="28"/>
          <w:szCs w:val="28"/>
        </w:rPr>
        <w:tab/>
      </w:r>
      <w:r>
        <w:rPr>
          <w:rFonts w:hint="eastAsia" w:ascii="宋体" w:hAnsi="宋体"/>
          <w:bCs/>
          <w:sz w:val="28"/>
          <w:szCs w:val="28"/>
        </w:rPr>
        <w:t xml:space="preserve"> □一般60%</w:t>
      </w:r>
      <w:r>
        <w:rPr>
          <w:rFonts w:hint="eastAsia" w:ascii="宋体" w:hAnsi="宋体"/>
          <w:bCs/>
          <w:sz w:val="28"/>
          <w:szCs w:val="28"/>
        </w:rPr>
        <w:tab/>
      </w:r>
      <w:r>
        <w:rPr>
          <w:rFonts w:hint="eastAsia" w:ascii="宋体" w:hAnsi="宋体"/>
          <w:bCs/>
          <w:sz w:val="28"/>
          <w:szCs w:val="28"/>
        </w:rPr>
        <w:t>□不满意40%</w:t>
      </w:r>
      <w:r>
        <w:rPr>
          <w:rFonts w:hint="eastAsia" w:ascii="宋体" w:hAnsi="宋体"/>
          <w:bCs/>
          <w:sz w:val="28"/>
          <w:szCs w:val="28"/>
        </w:rPr>
        <w:tab/>
      </w:r>
      <w:r>
        <w:rPr>
          <w:rFonts w:ascii="宋体" w:hAnsi="宋体"/>
          <w:bCs/>
          <w:sz w:val="28"/>
          <w:szCs w:val="28"/>
        </w:rPr>
        <w:t xml:space="preserve"> </w:t>
      </w:r>
      <w:r>
        <w:rPr>
          <w:rFonts w:hint="eastAsia" w:ascii="宋体" w:hAnsi="宋体"/>
          <w:bCs/>
          <w:sz w:val="28"/>
          <w:szCs w:val="28"/>
        </w:rPr>
        <w:t>□非常不满意20%</w:t>
      </w:r>
    </w:p>
    <w:p>
      <w:pPr>
        <w:snapToGrid w:val="0"/>
        <w:spacing w:line="560" w:lineRule="exact"/>
        <w:ind w:firstLine="560" w:firstLineChars="200"/>
        <w:jc w:val="left"/>
        <w:rPr>
          <w:rFonts w:ascii="宋体" w:hAnsi="宋体"/>
          <w:bCs/>
          <w:sz w:val="28"/>
          <w:szCs w:val="28"/>
        </w:rPr>
      </w:pPr>
      <w:r>
        <w:rPr>
          <w:rFonts w:ascii="宋体" w:hAnsi="宋体"/>
          <w:bCs/>
          <w:sz w:val="28"/>
          <w:szCs w:val="28"/>
        </w:rPr>
        <w:t>6</w:t>
      </w:r>
      <w:r>
        <w:rPr>
          <w:rFonts w:hint="eastAsia" w:ascii="宋体" w:hAnsi="宋体"/>
          <w:bCs/>
          <w:sz w:val="28"/>
          <w:szCs w:val="28"/>
        </w:rPr>
        <w:t>. 您对时花的质量满意吗？</w:t>
      </w:r>
    </w:p>
    <w:p>
      <w:pPr>
        <w:snapToGrid w:val="0"/>
        <w:spacing w:line="560" w:lineRule="exact"/>
        <w:ind w:firstLine="560" w:firstLineChars="200"/>
        <w:rPr>
          <w:rFonts w:ascii="宋体" w:hAnsi="宋体"/>
          <w:bCs/>
          <w:sz w:val="28"/>
          <w:szCs w:val="28"/>
        </w:rPr>
      </w:pPr>
      <w:r>
        <w:rPr>
          <w:rFonts w:hint="eastAsia" w:ascii="宋体" w:hAnsi="宋体"/>
          <w:bCs/>
          <w:sz w:val="28"/>
          <w:szCs w:val="28"/>
        </w:rPr>
        <w:t>□非常满意100%</w:t>
      </w:r>
      <w:r>
        <w:rPr>
          <w:rFonts w:hint="eastAsia" w:ascii="宋体" w:hAnsi="宋体"/>
          <w:bCs/>
          <w:sz w:val="28"/>
          <w:szCs w:val="28"/>
        </w:rPr>
        <w:tab/>
      </w:r>
      <w:r>
        <w:rPr>
          <w:rFonts w:hint="eastAsia" w:ascii="宋体" w:hAnsi="宋体"/>
          <w:bCs/>
          <w:sz w:val="28"/>
          <w:szCs w:val="28"/>
        </w:rPr>
        <w:t>□比较满意80%</w:t>
      </w:r>
      <w:r>
        <w:rPr>
          <w:rFonts w:hint="eastAsia" w:ascii="宋体" w:hAnsi="宋体"/>
          <w:bCs/>
          <w:sz w:val="28"/>
          <w:szCs w:val="28"/>
        </w:rPr>
        <w:tab/>
      </w:r>
      <w:r>
        <w:rPr>
          <w:rFonts w:hint="eastAsia" w:ascii="宋体" w:hAnsi="宋体"/>
          <w:bCs/>
          <w:sz w:val="28"/>
          <w:szCs w:val="28"/>
        </w:rPr>
        <w:t xml:space="preserve"> □一般60%</w:t>
      </w:r>
      <w:r>
        <w:rPr>
          <w:rFonts w:hint="eastAsia" w:ascii="宋体" w:hAnsi="宋体"/>
          <w:bCs/>
          <w:sz w:val="28"/>
          <w:szCs w:val="28"/>
        </w:rPr>
        <w:tab/>
      </w:r>
      <w:r>
        <w:rPr>
          <w:rFonts w:hint="eastAsia" w:ascii="宋体" w:hAnsi="宋体"/>
          <w:bCs/>
          <w:sz w:val="28"/>
          <w:szCs w:val="28"/>
        </w:rPr>
        <w:t>□不满意40%</w:t>
      </w:r>
      <w:r>
        <w:rPr>
          <w:rFonts w:hint="eastAsia" w:ascii="宋体" w:hAnsi="宋体"/>
          <w:bCs/>
          <w:sz w:val="28"/>
          <w:szCs w:val="28"/>
        </w:rPr>
        <w:tab/>
      </w:r>
      <w:r>
        <w:rPr>
          <w:rFonts w:ascii="宋体" w:hAnsi="宋体"/>
          <w:bCs/>
          <w:sz w:val="28"/>
          <w:szCs w:val="28"/>
        </w:rPr>
        <w:t xml:space="preserve"> </w:t>
      </w:r>
      <w:r>
        <w:rPr>
          <w:rFonts w:hint="eastAsia" w:ascii="宋体" w:hAnsi="宋体"/>
          <w:bCs/>
          <w:sz w:val="28"/>
          <w:szCs w:val="28"/>
        </w:rPr>
        <w:t>□非常不满意20%</w:t>
      </w:r>
    </w:p>
    <w:p>
      <w:pPr>
        <w:snapToGrid w:val="0"/>
        <w:spacing w:line="560" w:lineRule="exact"/>
        <w:ind w:firstLine="560" w:firstLineChars="200"/>
        <w:rPr>
          <w:rFonts w:ascii="宋体" w:hAnsi="宋体"/>
          <w:bCs/>
          <w:sz w:val="28"/>
          <w:szCs w:val="28"/>
        </w:rPr>
      </w:pPr>
      <w:r>
        <w:rPr>
          <w:rFonts w:ascii="宋体" w:hAnsi="宋体"/>
          <w:bCs/>
          <w:sz w:val="28"/>
          <w:szCs w:val="28"/>
        </w:rPr>
        <w:t xml:space="preserve">7. </w:t>
      </w:r>
      <w:r>
        <w:rPr>
          <w:rFonts w:hint="eastAsia" w:ascii="宋体" w:hAnsi="宋体"/>
          <w:bCs/>
          <w:sz w:val="28"/>
          <w:szCs w:val="28"/>
        </w:rPr>
        <w:t>您对时花的品种满意吗？</w:t>
      </w:r>
      <w:r>
        <w:rPr>
          <w:rFonts w:ascii="宋体" w:hAnsi="宋体"/>
          <w:bCs/>
          <w:sz w:val="28"/>
          <w:szCs w:val="28"/>
        </w:rPr>
        <w:t xml:space="preserve"> </w:t>
      </w:r>
    </w:p>
    <w:p>
      <w:pPr>
        <w:snapToGrid w:val="0"/>
        <w:spacing w:line="560" w:lineRule="exact"/>
        <w:ind w:left="105" w:leftChars="50" w:firstLine="420" w:firstLineChars="150"/>
        <w:rPr>
          <w:rFonts w:ascii="宋体" w:hAnsi="宋体"/>
          <w:bCs/>
          <w:sz w:val="28"/>
          <w:szCs w:val="28"/>
        </w:rPr>
      </w:pPr>
      <w:r>
        <w:rPr>
          <w:rFonts w:hint="eastAsia" w:ascii="宋体" w:hAnsi="宋体"/>
          <w:bCs/>
          <w:sz w:val="28"/>
          <w:szCs w:val="28"/>
        </w:rPr>
        <w:t>□非常满意100%</w:t>
      </w:r>
      <w:r>
        <w:rPr>
          <w:rFonts w:hint="eastAsia" w:ascii="宋体" w:hAnsi="宋体"/>
          <w:bCs/>
          <w:sz w:val="28"/>
          <w:szCs w:val="28"/>
        </w:rPr>
        <w:tab/>
      </w:r>
      <w:r>
        <w:rPr>
          <w:rFonts w:hint="eastAsia" w:ascii="宋体" w:hAnsi="宋体"/>
          <w:bCs/>
          <w:sz w:val="28"/>
          <w:szCs w:val="28"/>
        </w:rPr>
        <w:t>□比较满意80%</w:t>
      </w:r>
      <w:r>
        <w:rPr>
          <w:rFonts w:hint="eastAsia" w:ascii="宋体" w:hAnsi="宋体"/>
          <w:bCs/>
          <w:sz w:val="28"/>
          <w:szCs w:val="28"/>
        </w:rPr>
        <w:tab/>
      </w:r>
      <w:r>
        <w:rPr>
          <w:rFonts w:hint="eastAsia" w:ascii="宋体" w:hAnsi="宋体"/>
          <w:bCs/>
          <w:sz w:val="28"/>
          <w:szCs w:val="28"/>
        </w:rPr>
        <w:t xml:space="preserve"> □一般60%</w:t>
      </w:r>
      <w:r>
        <w:rPr>
          <w:rFonts w:hint="eastAsia" w:ascii="宋体" w:hAnsi="宋体"/>
          <w:bCs/>
          <w:sz w:val="28"/>
          <w:szCs w:val="28"/>
        </w:rPr>
        <w:tab/>
      </w:r>
      <w:r>
        <w:rPr>
          <w:rFonts w:hint="eastAsia" w:ascii="宋体" w:hAnsi="宋体"/>
          <w:bCs/>
          <w:sz w:val="28"/>
          <w:szCs w:val="28"/>
        </w:rPr>
        <w:t>□不满意40%</w:t>
      </w:r>
      <w:r>
        <w:rPr>
          <w:rFonts w:hint="eastAsia" w:ascii="宋体" w:hAnsi="宋体"/>
          <w:bCs/>
          <w:sz w:val="28"/>
          <w:szCs w:val="28"/>
        </w:rPr>
        <w:tab/>
      </w:r>
      <w:r>
        <w:rPr>
          <w:rFonts w:ascii="宋体" w:hAnsi="宋体"/>
          <w:bCs/>
          <w:sz w:val="28"/>
          <w:szCs w:val="28"/>
        </w:rPr>
        <w:t xml:space="preserve"> </w:t>
      </w:r>
      <w:r>
        <w:rPr>
          <w:rFonts w:hint="eastAsia" w:ascii="宋体" w:hAnsi="宋体"/>
          <w:bCs/>
          <w:sz w:val="28"/>
          <w:szCs w:val="28"/>
        </w:rPr>
        <w:t>□非常不满意20%</w:t>
      </w:r>
    </w:p>
    <w:p>
      <w:pPr>
        <w:snapToGrid w:val="0"/>
        <w:spacing w:line="560" w:lineRule="exact"/>
        <w:ind w:firstLine="560" w:firstLineChars="200"/>
        <w:rPr>
          <w:rFonts w:ascii="宋体" w:hAnsi="宋体"/>
          <w:bCs/>
          <w:sz w:val="28"/>
          <w:szCs w:val="28"/>
        </w:rPr>
      </w:pPr>
      <w:r>
        <w:rPr>
          <w:rFonts w:ascii="宋体" w:hAnsi="宋体"/>
          <w:bCs/>
          <w:sz w:val="28"/>
          <w:szCs w:val="28"/>
        </w:rPr>
        <w:t xml:space="preserve">8. </w:t>
      </w:r>
      <w:r>
        <w:rPr>
          <w:rFonts w:hint="eastAsia" w:ascii="宋体" w:hAnsi="宋体"/>
          <w:bCs/>
          <w:sz w:val="28"/>
          <w:szCs w:val="28"/>
        </w:rPr>
        <w:t>您对时花养护效果满意吗？</w:t>
      </w:r>
      <w:r>
        <w:rPr>
          <w:rFonts w:ascii="宋体" w:hAnsi="宋体"/>
          <w:bCs/>
          <w:sz w:val="28"/>
          <w:szCs w:val="28"/>
        </w:rPr>
        <w:t xml:space="preserve"> </w:t>
      </w:r>
    </w:p>
    <w:p>
      <w:pPr>
        <w:snapToGrid w:val="0"/>
        <w:spacing w:line="560" w:lineRule="exact"/>
        <w:ind w:firstLine="560" w:firstLineChars="200"/>
        <w:rPr>
          <w:rFonts w:ascii="宋体" w:hAnsi="宋体"/>
          <w:bCs/>
          <w:sz w:val="28"/>
          <w:szCs w:val="28"/>
        </w:rPr>
      </w:pPr>
      <w:r>
        <w:rPr>
          <w:rFonts w:hint="eastAsia" w:ascii="宋体" w:hAnsi="宋体"/>
          <w:bCs/>
          <w:sz w:val="28"/>
          <w:szCs w:val="28"/>
        </w:rPr>
        <w:t>□非常满意100%</w:t>
      </w:r>
      <w:r>
        <w:rPr>
          <w:rFonts w:hint="eastAsia" w:ascii="宋体" w:hAnsi="宋体"/>
          <w:bCs/>
          <w:sz w:val="28"/>
          <w:szCs w:val="28"/>
        </w:rPr>
        <w:tab/>
      </w:r>
      <w:r>
        <w:rPr>
          <w:rFonts w:hint="eastAsia" w:ascii="宋体" w:hAnsi="宋体"/>
          <w:bCs/>
          <w:sz w:val="28"/>
          <w:szCs w:val="28"/>
        </w:rPr>
        <w:t>□比较满意80%</w:t>
      </w:r>
      <w:r>
        <w:rPr>
          <w:rFonts w:hint="eastAsia" w:ascii="宋体" w:hAnsi="宋体"/>
          <w:bCs/>
          <w:sz w:val="28"/>
          <w:szCs w:val="28"/>
        </w:rPr>
        <w:tab/>
      </w:r>
      <w:r>
        <w:rPr>
          <w:rFonts w:hint="eastAsia" w:ascii="宋体" w:hAnsi="宋体"/>
          <w:bCs/>
          <w:sz w:val="28"/>
          <w:szCs w:val="28"/>
        </w:rPr>
        <w:t xml:space="preserve"> □一般60%</w:t>
      </w:r>
      <w:r>
        <w:rPr>
          <w:rFonts w:hint="eastAsia" w:ascii="宋体" w:hAnsi="宋体"/>
          <w:bCs/>
          <w:sz w:val="28"/>
          <w:szCs w:val="28"/>
        </w:rPr>
        <w:tab/>
      </w:r>
      <w:r>
        <w:rPr>
          <w:rFonts w:hint="eastAsia" w:ascii="宋体" w:hAnsi="宋体"/>
          <w:bCs/>
          <w:sz w:val="28"/>
          <w:szCs w:val="28"/>
        </w:rPr>
        <w:t>□不满意40%</w:t>
      </w:r>
      <w:r>
        <w:rPr>
          <w:rFonts w:hint="eastAsia" w:ascii="宋体" w:hAnsi="宋体"/>
          <w:bCs/>
          <w:sz w:val="28"/>
          <w:szCs w:val="28"/>
        </w:rPr>
        <w:tab/>
      </w:r>
      <w:r>
        <w:rPr>
          <w:rFonts w:ascii="宋体" w:hAnsi="宋体"/>
          <w:bCs/>
          <w:sz w:val="28"/>
          <w:szCs w:val="28"/>
        </w:rPr>
        <w:t xml:space="preserve"> </w:t>
      </w:r>
      <w:r>
        <w:rPr>
          <w:rFonts w:hint="eastAsia" w:ascii="宋体" w:hAnsi="宋体"/>
          <w:bCs/>
          <w:sz w:val="28"/>
          <w:szCs w:val="28"/>
        </w:rPr>
        <w:t>□非常不满意20%</w:t>
      </w:r>
    </w:p>
    <w:p>
      <w:pPr>
        <w:snapToGrid w:val="0"/>
        <w:spacing w:line="560" w:lineRule="exact"/>
        <w:ind w:firstLine="560" w:firstLineChars="200"/>
        <w:rPr>
          <w:rFonts w:ascii="宋体" w:hAnsi="宋体"/>
          <w:bCs/>
          <w:sz w:val="28"/>
          <w:szCs w:val="28"/>
        </w:rPr>
      </w:pPr>
      <w:r>
        <w:rPr>
          <w:rFonts w:ascii="宋体" w:hAnsi="宋体"/>
          <w:bCs/>
          <w:sz w:val="28"/>
          <w:szCs w:val="28"/>
        </w:rPr>
        <w:t>9.</w:t>
      </w:r>
      <w:r>
        <w:rPr>
          <w:rFonts w:hint="eastAsia" w:ascii="宋体" w:hAnsi="宋体"/>
          <w:bCs/>
          <w:sz w:val="28"/>
          <w:szCs w:val="28"/>
        </w:rPr>
        <w:t xml:space="preserve"> 您对这些时花总体摆放效果满意吗？</w:t>
      </w:r>
    </w:p>
    <w:p>
      <w:pPr>
        <w:snapToGrid w:val="0"/>
        <w:spacing w:line="560" w:lineRule="exact"/>
        <w:ind w:firstLine="560" w:firstLineChars="200"/>
        <w:rPr>
          <w:rFonts w:ascii="宋体" w:hAnsi="宋体"/>
          <w:bCs/>
          <w:sz w:val="28"/>
          <w:szCs w:val="28"/>
        </w:rPr>
      </w:pPr>
      <w:r>
        <w:rPr>
          <w:rFonts w:hint="eastAsia" w:ascii="宋体" w:hAnsi="宋体"/>
          <w:bCs/>
          <w:sz w:val="28"/>
          <w:szCs w:val="28"/>
        </w:rPr>
        <w:t>□非常满意100%</w:t>
      </w:r>
      <w:r>
        <w:rPr>
          <w:rFonts w:hint="eastAsia" w:ascii="宋体" w:hAnsi="宋体"/>
          <w:bCs/>
          <w:sz w:val="28"/>
          <w:szCs w:val="28"/>
        </w:rPr>
        <w:tab/>
      </w:r>
      <w:r>
        <w:rPr>
          <w:rFonts w:hint="eastAsia" w:ascii="宋体" w:hAnsi="宋体"/>
          <w:bCs/>
          <w:sz w:val="28"/>
          <w:szCs w:val="28"/>
        </w:rPr>
        <w:t>□比较满意80%</w:t>
      </w:r>
      <w:r>
        <w:rPr>
          <w:rFonts w:hint="eastAsia" w:ascii="宋体" w:hAnsi="宋体"/>
          <w:bCs/>
          <w:sz w:val="28"/>
          <w:szCs w:val="28"/>
        </w:rPr>
        <w:tab/>
      </w:r>
      <w:r>
        <w:rPr>
          <w:rFonts w:hint="eastAsia" w:ascii="宋体" w:hAnsi="宋体"/>
          <w:bCs/>
          <w:sz w:val="28"/>
          <w:szCs w:val="28"/>
        </w:rPr>
        <w:t xml:space="preserve"> □一般60%</w:t>
      </w:r>
      <w:r>
        <w:rPr>
          <w:rFonts w:hint="eastAsia" w:ascii="宋体" w:hAnsi="宋体"/>
          <w:bCs/>
          <w:sz w:val="28"/>
          <w:szCs w:val="28"/>
        </w:rPr>
        <w:tab/>
      </w:r>
      <w:r>
        <w:rPr>
          <w:rFonts w:hint="eastAsia" w:ascii="宋体" w:hAnsi="宋体"/>
          <w:bCs/>
          <w:sz w:val="28"/>
          <w:szCs w:val="28"/>
        </w:rPr>
        <w:t>□不满意40%</w:t>
      </w:r>
      <w:r>
        <w:rPr>
          <w:rFonts w:hint="eastAsia" w:ascii="宋体" w:hAnsi="宋体"/>
          <w:bCs/>
          <w:sz w:val="28"/>
          <w:szCs w:val="28"/>
        </w:rPr>
        <w:tab/>
      </w:r>
      <w:r>
        <w:rPr>
          <w:rFonts w:ascii="宋体" w:hAnsi="宋体"/>
          <w:bCs/>
          <w:sz w:val="28"/>
          <w:szCs w:val="28"/>
        </w:rPr>
        <w:t xml:space="preserve"> </w:t>
      </w:r>
      <w:r>
        <w:rPr>
          <w:rFonts w:hint="eastAsia" w:ascii="宋体" w:hAnsi="宋体"/>
          <w:bCs/>
          <w:sz w:val="28"/>
          <w:szCs w:val="28"/>
        </w:rPr>
        <w:t>□非常不满意20%</w:t>
      </w:r>
    </w:p>
    <w:p>
      <w:pPr>
        <w:snapToGrid w:val="0"/>
        <w:spacing w:line="560" w:lineRule="exact"/>
        <w:ind w:firstLine="560" w:firstLineChars="200"/>
        <w:rPr>
          <w:rFonts w:ascii="宋体" w:hAnsi="宋体"/>
          <w:bCs/>
          <w:sz w:val="28"/>
          <w:szCs w:val="28"/>
        </w:rPr>
      </w:pPr>
      <w:r>
        <w:rPr>
          <w:rFonts w:ascii="宋体" w:hAnsi="宋体"/>
          <w:bCs/>
          <w:sz w:val="28"/>
          <w:szCs w:val="28"/>
        </w:rPr>
        <w:t>10</w:t>
      </w:r>
      <w:r>
        <w:rPr>
          <w:rFonts w:hint="eastAsia" w:ascii="宋体" w:hAnsi="宋体"/>
          <w:bCs/>
          <w:sz w:val="28"/>
          <w:szCs w:val="28"/>
        </w:rPr>
        <w:t>.您对这些时花在美化环境、提升生活品质方面的效果满意吗？</w:t>
      </w:r>
    </w:p>
    <w:p>
      <w:pPr>
        <w:snapToGrid w:val="0"/>
        <w:spacing w:line="560" w:lineRule="exact"/>
        <w:ind w:firstLine="560" w:firstLineChars="200"/>
        <w:rPr>
          <w:rFonts w:ascii="宋体" w:hAnsi="宋体"/>
          <w:bCs/>
          <w:sz w:val="28"/>
          <w:szCs w:val="28"/>
        </w:rPr>
      </w:pPr>
      <w:r>
        <w:rPr>
          <w:rFonts w:hint="eastAsia" w:ascii="宋体" w:hAnsi="宋体"/>
          <w:bCs/>
          <w:sz w:val="28"/>
          <w:szCs w:val="28"/>
        </w:rPr>
        <w:t>□非常满意100%</w:t>
      </w:r>
      <w:r>
        <w:rPr>
          <w:rFonts w:hint="eastAsia" w:ascii="宋体" w:hAnsi="宋体"/>
          <w:bCs/>
          <w:sz w:val="28"/>
          <w:szCs w:val="28"/>
        </w:rPr>
        <w:tab/>
      </w:r>
      <w:r>
        <w:rPr>
          <w:rFonts w:hint="eastAsia" w:ascii="宋体" w:hAnsi="宋体"/>
          <w:bCs/>
          <w:sz w:val="28"/>
          <w:szCs w:val="28"/>
        </w:rPr>
        <w:t>□比较满意80%</w:t>
      </w:r>
      <w:r>
        <w:rPr>
          <w:rFonts w:hint="eastAsia" w:ascii="宋体" w:hAnsi="宋体"/>
          <w:bCs/>
          <w:sz w:val="28"/>
          <w:szCs w:val="28"/>
        </w:rPr>
        <w:tab/>
      </w:r>
      <w:r>
        <w:rPr>
          <w:rFonts w:hint="eastAsia" w:ascii="宋体" w:hAnsi="宋体"/>
          <w:bCs/>
          <w:sz w:val="28"/>
          <w:szCs w:val="28"/>
        </w:rPr>
        <w:t xml:space="preserve"> □一般60%</w:t>
      </w:r>
      <w:r>
        <w:rPr>
          <w:rFonts w:hint="eastAsia" w:ascii="宋体" w:hAnsi="宋体"/>
          <w:bCs/>
          <w:sz w:val="28"/>
          <w:szCs w:val="28"/>
        </w:rPr>
        <w:tab/>
      </w:r>
      <w:r>
        <w:rPr>
          <w:rFonts w:hint="eastAsia" w:ascii="宋体" w:hAnsi="宋体"/>
          <w:bCs/>
          <w:sz w:val="28"/>
          <w:szCs w:val="28"/>
        </w:rPr>
        <w:t>□不满意40%</w:t>
      </w:r>
      <w:r>
        <w:rPr>
          <w:rFonts w:hint="eastAsia" w:ascii="宋体" w:hAnsi="宋体"/>
          <w:bCs/>
          <w:sz w:val="28"/>
          <w:szCs w:val="28"/>
        </w:rPr>
        <w:tab/>
      </w:r>
      <w:r>
        <w:rPr>
          <w:rFonts w:ascii="宋体" w:hAnsi="宋体"/>
          <w:bCs/>
          <w:sz w:val="28"/>
          <w:szCs w:val="28"/>
        </w:rPr>
        <w:t xml:space="preserve"> </w:t>
      </w:r>
      <w:r>
        <w:rPr>
          <w:rFonts w:hint="eastAsia" w:ascii="宋体" w:hAnsi="宋体"/>
          <w:bCs/>
          <w:sz w:val="28"/>
          <w:szCs w:val="28"/>
        </w:rPr>
        <w:t>□非常不满意20%</w:t>
      </w:r>
    </w:p>
    <w:p>
      <w:pPr>
        <w:snapToGrid w:val="0"/>
        <w:spacing w:line="560" w:lineRule="exact"/>
        <w:ind w:firstLine="560" w:firstLineChars="200"/>
        <w:rPr>
          <w:rFonts w:ascii="宋体" w:hAnsi="宋体"/>
          <w:bCs/>
          <w:sz w:val="28"/>
          <w:szCs w:val="28"/>
        </w:rPr>
      </w:pPr>
      <w:r>
        <w:rPr>
          <w:rFonts w:ascii="宋体" w:hAnsi="宋体"/>
          <w:bCs/>
          <w:sz w:val="28"/>
          <w:szCs w:val="28"/>
        </w:rPr>
        <w:t>11</w:t>
      </w:r>
      <w:r>
        <w:rPr>
          <w:rFonts w:hint="eastAsia" w:ascii="宋体" w:hAnsi="宋体"/>
          <w:bCs/>
          <w:sz w:val="28"/>
          <w:szCs w:val="28"/>
        </w:rPr>
        <w:t>.您对时花采购项目实施有何其他看法、意见及建议</w:t>
      </w:r>
      <w:r>
        <w:rPr>
          <w:rFonts w:ascii="宋体" w:hAnsi="宋体"/>
          <w:bCs/>
          <w:sz w:val="28"/>
          <w:szCs w:val="28"/>
        </w:rPr>
        <w:t>?</w:t>
      </w:r>
    </w:p>
    <w:p>
      <w:pPr>
        <w:snapToGrid w:val="0"/>
        <w:spacing w:line="560" w:lineRule="exact"/>
        <w:ind w:firstLine="560" w:firstLineChars="200"/>
        <w:rPr>
          <w:rFonts w:ascii="宋体" w:hAnsi="宋体"/>
          <w:bCs/>
          <w:sz w:val="28"/>
          <w:szCs w:val="28"/>
        </w:rPr>
      </w:pPr>
      <w:r>
        <w:rPr>
          <w:rFonts w:hint="eastAsia" w:ascii="宋体" w:hAnsi="宋体"/>
          <w:bCs/>
          <w:sz w:val="28"/>
          <w:szCs w:val="28"/>
        </w:rPr>
        <w:t>（请以文字作答）</w:t>
      </w:r>
    </w:p>
    <w:p>
      <w:pPr>
        <w:snapToGrid w:val="0"/>
        <w:spacing w:line="560" w:lineRule="exact"/>
        <w:ind w:firstLine="560" w:firstLineChars="200"/>
        <w:rPr>
          <w:rFonts w:ascii="仿宋_GB2312" w:eastAsia="仿宋_GB2312"/>
          <w:b/>
          <w:bCs/>
          <w:sz w:val="32"/>
          <w:szCs w:val="32"/>
        </w:rPr>
      </w:pPr>
      <w:r>
        <w:rPr>
          <w:rFonts w:hint="eastAsia" w:ascii="宋体" w:hAnsi="宋体"/>
          <w:bCs/>
          <w:sz w:val="28"/>
          <w:szCs w:val="28"/>
        </w:rPr>
        <w:t>（若您对本次问卷调查还有其他想法，您的意见发到xm5171305@163.com，我们将认真考虑您的意见。感谢您对我们工作的支持！）</w:t>
      </w: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86"/>
    <w:family w:val="auto"/>
    <w:pitch w:val="default"/>
    <w:sig w:usb0="00000000" w:usb1="00000000" w:usb2="00000000" w:usb3="00000000" w:csb0="00000000" w:csb1="00000000"/>
  </w:font>
  <w:font w:name="Wingdings">
    <w:altName w:val="GWZT-EN"/>
    <w:panose1 w:val="05000000000000000000"/>
    <w:charset w:val="02"/>
    <w:family w:val="auto"/>
    <w:pitch w:val="default"/>
    <w:sig w:usb0="00000000" w:usb1="00000000" w:usb2="00000000" w:usb3="00000000" w:csb0="80000000" w:csb1="00000000"/>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GWZT-EN"/>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DejaVu Sans">
    <w:panose1 w:val="020B0603030804020204"/>
    <w:charset w:val="00"/>
    <w:family w:val="auto"/>
    <w:pitch w:val="default"/>
    <w:sig w:usb0="E7006EFF" w:usb1="D200FDFF" w:usb2="0A246029" w:usb3="0400200C" w:csb0="600001FF" w:csb1="DFFF0000"/>
  </w:font>
  <w:font w:name="方正书宋_GBK">
    <w:panose1 w:val="02000000000000000000"/>
    <w:charset w:val="86"/>
    <w:family w:val="auto"/>
    <w:pitch w:val="default"/>
    <w:sig w:usb0="00000001" w:usb1="08000000" w:usb2="00000000" w:usb3="00000000" w:csb0="00040000" w:csb1="00000000"/>
  </w:font>
  <w:font w:name="Calibri Light">
    <w:altName w:val="DejaVu Sans"/>
    <w:panose1 w:val="020F0302020204030204"/>
    <w:charset w:val="00"/>
    <w:family w:val="swiss"/>
    <w:pitch w:val="default"/>
    <w:sig w:usb0="00000000" w:usb1="00000000" w:usb2="00000009" w:usb3="00000000" w:csb0="000001FF" w:csb1="00000000"/>
  </w:font>
  <w:font w:name="Cambria">
    <w:altName w:val="FreeSerif"/>
    <w:panose1 w:val="02040503050406030204"/>
    <w:charset w:val="00"/>
    <w:family w:val="roman"/>
    <w:pitch w:val="default"/>
    <w:sig w:usb0="00000000" w:usb1="00000000" w:usb2="02000000" w:usb3="00000000" w:csb0="0000019F" w:csb1="00000000"/>
  </w:font>
  <w:font w:name="FreeSerif">
    <w:panose1 w:val="02020603050405020304"/>
    <w:charset w:val="00"/>
    <w:family w:val="auto"/>
    <w:pitch w:val="default"/>
    <w:sig w:usb0="E59FAFFF" w:usb1="C200FDFF" w:usb2="43501B29" w:usb3="04000043" w:csb0="600101FF" w:csb1="FFFF0000"/>
  </w:font>
  <w:font w:name="等线">
    <w:altName w:val="Noto Sans CJK SC"/>
    <w:panose1 w:val="02010600030101010101"/>
    <w:charset w:val="86"/>
    <w:family w:val="auto"/>
    <w:pitch w:val="default"/>
    <w:sig w:usb0="00000000" w:usb1="00000000" w:usb2="00000016" w:usb3="00000000" w:csb0="0004000F" w:csb1="00000000"/>
  </w:font>
  <w:font w:name="Noto Sans CJK SC">
    <w:panose1 w:val="020B0500000000000000"/>
    <w:charset w:val="86"/>
    <w:family w:val="auto"/>
    <w:pitch w:val="default"/>
    <w:sig w:usb0="30000083" w:usb1="2BDF3C10" w:usb2="00000016" w:usb3="00000000" w:csb0="602E0107" w:csb1="00000000"/>
  </w:font>
  <w:font w:name="仿宋">
    <w:altName w:val="仿宋_GB2312"/>
    <w:panose1 w:val="02010609060101010101"/>
    <w:charset w:val="86"/>
    <w:family w:val="modern"/>
    <w:pitch w:val="default"/>
    <w:sig w:usb0="00000000" w:usb1="00000000" w:usb2="00000016" w:usb3="00000000" w:csb0="00040001" w:csb1="00000000"/>
  </w:font>
  <w:font w:name="仿宋_GB2312">
    <w:panose1 w:val="02010609030101010101"/>
    <w:charset w:val="86"/>
    <w:family w:val="auto"/>
    <w:pitch w:val="default"/>
    <w:sig w:usb0="00000001" w:usb1="080E0000" w:usb2="00000000" w:usb3="00000000" w:csb0="00040000" w:csb1="00000000"/>
  </w:font>
  <w:font w:name="微软雅黑">
    <w:altName w:val="黑体"/>
    <w:panose1 w:val="020B0503020204020204"/>
    <w:charset w:val="86"/>
    <w:family w:val="swiss"/>
    <w:pitch w:val="default"/>
    <w:sig w:usb0="00000000" w:usb1="00000000" w:usb2="00000016" w:usb3="00000000" w:csb0="0004001F" w:csb1="00000000"/>
  </w:font>
  <w:font w:name="方正小标宋简体">
    <w:panose1 w:val="02000000000000000000"/>
    <w:charset w:val="86"/>
    <w:family w:val="script"/>
    <w:pitch w:val="default"/>
    <w:sig w:usb0="A00002BF" w:usb1="184F6CFA" w:usb2="00000012" w:usb3="00000000" w:csb0="00040001" w:csb1="00000000"/>
  </w:font>
  <w:font w:name="楷体">
    <w:altName w:val="楷体_GB2312"/>
    <w:panose1 w:val="02010609060101010101"/>
    <w:charset w:val="86"/>
    <w:family w:val="modern"/>
    <w:pitch w:val="default"/>
    <w:sig w:usb0="00000000" w:usb1="00000000" w:usb2="00000016" w:usb3="00000000" w:csb0="00040001" w:csb1="00000000"/>
  </w:font>
  <w:font w:name="楷体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rPr>
        <w:rStyle w:val="15"/>
        <w:rFonts w:ascii="仿宋_GB2312" w:eastAsia="仿宋_GB2312"/>
        <w:sz w:val="28"/>
        <w:szCs w:val="28"/>
      </w:rPr>
    </w:pPr>
    <w:r>
      <w:rPr>
        <w:rFonts w:hint="eastAsia" w:ascii="仿宋_GB2312" w:eastAsia="仿宋_GB2312"/>
        <w:sz w:val="28"/>
        <w:szCs w:val="28"/>
      </w:rPr>
      <w:fldChar w:fldCharType="begin"/>
    </w:r>
    <w:r>
      <w:rPr>
        <w:rStyle w:val="15"/>
        <w:rFonts w:hint="eastAsia" w:ascii="仿宋_GB2312" w:eastAsia="仿宋_GB2312"/>
        <w:sz w:val="28"/>
        <w:szCs w:val="28"/>
      </w:rPr>
      <w:instrText xml:space="preserve">PAGE  </w:instrText>
    </w:r>
    <w:r>
      <w:rPr>
        <w:rFonts w:hint="eastAsia" w:ascii="仿宋_GB2312" w:eastAsia="仿宋_GB2312"/>
        <w:sz w:val="28"/>
        <w:szCs w:val="28"/>
      </w:rPr>
      <w:fldChar w:fldCharType="separate"/>
    </w:r>
    <w:r>
      <w:rPr>
        <w:rStyle w:val="15"/>
        <w:rFonts w:ascii="仿宋_GB2312" w:eastAsia="仿宋_GB2312"/>
        <w:sz w:val="28"/>
        <w:szCs w:val="28"/>
      </w:rPr>
      <w:t>- 6 -</w:t>
    </w:r>
    <w:r>
      <w:rPr>
        <w:rFonts w:hint="eastAsia" w:ascii="仿宋_GB2312" w:eastAsia="仿宋_GB2312"/>
        <w:sz w:val="28"/>
        <w:szCs w:val="28"/>
      </w:rPr>
      <w:fldChar w:fldCharType="end"/>
    </w:r>
  </w:p>
  <w:p>
    <w:pPr>
      <w:pStyle w:val="6"/>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center"/>
    </w:pPr>
    <w:r>
      <w:fldChar w:fldCharType="begin"/>
    </w:r>
    <w:r>
      <w:instrText xml:space="preserve">PAGE   \* MERGEFORMAT</w:instrText>
    </w:r>
    <w:r>
      <w:fldChar w:fldCharType="separate"/>
    </w:r>
    <w:r>
      <w:rPr>
        <w:lang w:val="zh-CN"/>
      </w:rPr>
      <w:t>1</w:t>
    </w:r>
    <w:r>
      <w:fldChar w:fldCharType="end"/>
    </w:r>
  </w:p>
  <w:p>
    <w:pPr>
      <w:pStyle w:val="6"/>
      <w:ind w:right="360" w:firstLine="360"/>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1C3"/>
    <w:rsid w:val="00000895"/>
    <w:rsid w:val="000017D8"/>
    <w:rsid w:val="00001E5E"/>
    <w:rsid w:val="0000208E"/>
    <w:rsid w:val="00003527"/>
    <w:rsid w:val="000038B8"/>
    <w:rsid w:val="00003BC7"/>
    <w:rsid w:val="0000437D"/>
    <w:rsid w:val="00004D8B"/>
    <w:rsid w:val="0000739E"/>
    <w:rsid w:val="00010957"/>
    <w:rsid w:val="000115FA"/>
    <w:rsid w:val="00011B5D"/>
    <w:rsid w:val="00013FF8"/>
    <w:rsid w:val="00014096"/>
    <w:rsid w:val="00014C8A"/>
    <w:rsid w:val="000156CC"/>
    <w:rsid w:val="00015FB6"/>
    <w:rsid w:val="000165FC"/>
    <w:rsid w:val="00016A51"/>
    <w:rsid w:val="00017A49"/>
    <w:rsid w:val="0002081A"/>
    <w:rsid w:val="0002253C"/>
    <w:rsid w:val="0002281E"/>
    <w:rsid w:val="00023140"/>
    <w:rsid w:val="00025C61"/>
    <w:rsid w:val="000272DC"/>
    <w:rsid w:val="0002745B"/>
    <w:rsid w:val="00027D09"/>
    <w:rsid w:val="00030C1D"/>
    <w:rsid w:val="000373A1"/>
    <w:rsid w:val="000402EE"/>
    <w:rsid w:val="00043035"/>
    <w:rsid w:val="00043E1C"/>
    <w:rsid w:val="000456A2"/>
    <w:rsid w:val="00053B6A"/>
    <w:rsid w:val="000542B4"/>
    <w:rsid w:val="0005543A"/>
    <w:rsid w:val="0005668D"/>
    <w:rsid w:val="0005715E"/>
    <w:rsid w:val="00060458"/>
    <w:rsid w:val="00061A97"/>
    <w:rsid w:val="00061E34"/>
    <w:rsid w:val="00062A4A"/>
    <w:rsid w:val="0006312B"/>
    <w:rsid w:val="00063F71"/>
    <w:rsid w:val="00064566"/>
    <w:rsid w:val="00064705"/>
    <w:rsid w:val="00064D34"/>
    <w:rsid w:val="00070045"/>
    <w:rsid w:val="00072E87"/>
    <w:rsid w:val="00075ABD"/>
    <w:rsid w:val="000775CF"/>
    <w:rsid w:val="00080B53"/>
    <w:rsid w:val="00081327"/>
    <w:rsid w:val="000854DB"/>
    <w:rsid w:val="00086569"/>
    <w:rsid w:val="00086CAC"/>
    <w:rsid w:val="00092A4C"/>
    <w:rsid w:val="00092E13"/>
    <w:rsid w:val="00094A38"/>
    <w:rsid w:val="0009540E"/>
    <w:rsid w:val="000A200D"/>
    <w:rsid w:val="000A4B64"/>
    <w:rsid w:val="000A4CDB"/>
    <w:rsid w:val="000A5ADF"/>
    <w:rsid w:val="000A6306"/>
    <w:rsid w:val="000A66D9"/>
    <w:rsid w:val="000A784B"/>
    <w:rsid w:val="000A7976"/>
    <w:rsid w:val="000B2994"/>
    <w:rsid w:val="000B4388"/>
    <w:rsid w:val="000B48F6"/>
    <w:rsid w:val="000B57E3"/>
    <w:rsid w:val="000B5A50"/>
    <w:rsid w:val="000B5AAA"/>
    <w:rsid w:val="000B7339"/>
    <w:rsid w:val="000B73EF"/>
    <w:rsid w:val="000B7968"/>
    <w:rsid w:val="000C063C"/>
    <w:rsid w:val="000C0980"/>
    <w:rsid w:val="000C1B58"/>
    <w:rsid w:val="000C1D9C"/>
    <w:rsid w:val="000C39F3"/>
    <w:rsid w:val="000D0DD5"/>
    <w:rsid w:val="000D1AF6"/>
    <w:rsid w:val="000D2F44"/>
    <w:rsid w:val="000D3C9E"/>
    <w:rsid w:val="000D578F"/>
    <w:rsid w:val="000D7E38"/>
    <w:rsid w:val="000E0D92"/>
    <w:rsid w:val="000E32E8"/>
    <w:rsid w:val="000E4A97"/>
    <w:rsid w:val="000F0973"/>
    <w:rsid w:val="000F0DC2"/>
    <w:rsid w:val="000F102F"/>
    <w:rsid w:val="000F15ED"/>
    <w:rsid w:val="000F4286"/>
    <w:rsid w:val="000F5599"/>
    <w:rsid w:val="000F60F0"/>
    <w:rsid w:val="000F6652"/>
    <w:rsid w:val="00100BE7"/>
    <w:rsid w:val="00101279"/>
    <w:rsid w:val="00105AEF"/>
    <w:rsid w:val="001128AE"/>
    <w:rsid w:val="00112BC2"/>
    <w:rsid w:val="00113ACA"/>
    <w:rsid w:val="00113CC4"/>
    <w:rsid w:val="001145E8"/>
    <w:rsid w:val="00115280"/>
    <w:rsid w:val="00115751"/>
    <w:rsid w:val="001206BA"/>
    <w:rsid w:val="0012221A"/>
    <w:rsid w:val="00125C68"/>
    <w:rsid w:val="00126EE8"/>
    <w:rsid w:val="00132503"/>
    <w:rsid w:val="00132ECF"/>
    <w:rsid w:val="00134073"/>
    <w:rsid w:val="0013497E"/>
    <w:rsid w:val="001355B5"/>
    <w:rsid w:val="00136893"/>
    <w:rsid w:val="00136BCE"/>
    <w:rsid w:val="00140E36"/>
    <w:rsid w:val="001412F8"/>
    <w:rsid w:val="00151141"/>
    <w:rsid w:val="00154646"/>
    <w:rsid w:val="001562AC"/>
    <w:rsid w:val="00160702"/>
    <w:rsid w:val="00160961"/>
    <w:rsid w:val="001620FF"/>
    <w:rsid w:val="0016277A"/>
    <w:rsid w:val="001632DA"/>
    <w:rsid w:val="001643A2"/>
    <w:rsid w:val="001647FB"/>
    <w:rsid w:val="00164DF1"/>
    <w:rsid w:val="001651BD"/>
    <w:rsid w:val="0016553D"/>
    <w:rsid w:val="00171C56"/>
    <w:rsid w:val="001721E8"/>
    <w:rsid w:val="00172A27"/>
    <w:rsid w:val="00172E56"/>
    <w:rsid w:val="00174298"/>
    <w:rsid w:val="00176135"/>
    <w:rsid w:val="00177FE5"/>
    <w:rsid w:val="00181901"/>
    <w:rsid w:val="00183677"/>
    <w:rsid w:val="00183B58"/>
    <w:rsid w:val="001868B4"/>
    <w:rsid w:val="001879E6"/>
    <w:rsid w:val="00190379"/>
    <w:rsid w:val="001904EE"/>
    <w:rsid w:val="00191CE0"/>
    <w:rsid w:val="00192263"/>
    <w:rsid w:val="00192886"/>
    <w:rsid w:val="00193150"/>
    <w:rsid w:val="00193F5F"/>
    <w:rsid w:val="0019725F"/>
    <w:rsid w:val="0019780C"/>
    <w:rsid w:val="001A0891"/>
    <w:rsid w:val="001A20C9"/>
    <w:rsid w:val="001A23DD"/>
    <w:rsid w:val="001A3232"/>
    <w:rsid w:val="001A3611"/>
    <w:rsid w:val="001A77CE"/>
    <w:rsid w:val="001B13DF"/>
    <w:rsid w:val="001B3257"/>
    <w:rsid w:val="001B37EC"/>
    <w:rsid w:val="001B3972"/>
    <w:rsid w:val="001B4306"/>
    <w:rsid w:val="001B4536"/>
    <w:rsid w:val="001B7741"/>
    <w:rsid w:val="001C23AA"/>
    <w:rsid w:val="001C2ACC"/>
    <w:rsid w:val="001C3B1B"/>
    <w:rsid w:val="001C4647"/>
    <w:rsid w:val="001C5396"/>
    <w:rsid w:val="001C7261"/>
    <w:rsid w:val="001D00DD"/>
    <w:rsid w:val="001D0412"/>
    <w:rsid w:val="001D295C"/>
    <w:rsid w:val="001D5125"/>
    <w:rsid w:val="001E00C7"/>
    <w:rsid w:val="001E36E7"/>
    <w:rsid w:val="001E42F3"/>
    <w:rsid w:val="001E506C"/>
    <w:rsid w:val="001E5D8F"/>
    <w:rsid w:val="001F02F0"/>
    <w:rsid w:val="001F0D31"/>
    <w:rsid w:val="001F1EA6"/>
    <w:rsid w:val="001F22ED"/>
    <w:rsid w:val="001F2ABC"/>
    <w:rsid w:val="001F46E3"/>
    <w:rsid w:val="001F698F"/>
    <w:rsid w:val="00201B6B"/>
    <w:rsid w:val="00204A3D"/>
    <w:rsid w:val="00204F9B"/>
    <w:rsid w:val="00205A62"/>
    <w:rsid w:val="002105F9"/>
    <w:rsid w:val="00210F3C"/>
    <w:rsid w:val="002131F0"/>
    <w:rsid w:val="00213AF7"/>
    <w:rsid w:val="002160B8"/>
    <w:rsid w:val="00217878"/>
    <w:rsid w:val="00217A1F"/>
    <w:rsid w:val="00220DE9"/>
    <w:rsid w:val="00221190"/>
    <w:rsid w:val="00221A2D"/>
    <w:rsid w:val="00221CFF"/>
    <w:rsid w:val="00222FE1"/>
    <w:rsid w:val="00224121"/>
    <w:rsid w:val="002254E5"/>
    <w:rsid w:val="00230344"/>
    <w:rsid w:val="002335EC"/>
    <w:rsid w:val="002351D9"/>
    <w:rsid w:val="00235230"/>
    <w:rsid w:val="002375EE"/>
    <w:rsid w:val="00240D47"/>
    <w:rsid w:val="00243845"/>
    <w:rsid w:val="00244CCB"/>
    <w:rsid w:val="0024579E"/>
    <w:rsid w:val="00245F96"/>
    <w:rsid w:val="0024738F"/>
    <w:rsid w:val="00251E65"/>
    <w:rsid w:val="002523FD"/>
    <w:rsid w:val="00254186"/>
    <w:rsid w:val="00255CE4"/>
    <w:rsid w:val="00256601"/>
    <w:rsid w:val="0025671B"/>
    <w:rsid w:val="002570D5"/>
    <w:rsid w:val="00260536"/>
    <w:rsid w:val="0026068A"/>
    <w:rsid w:val="00260BC8"/>
    <w:rsid w:val="00261E8F"/>
    <w:rsid w:val="00261F6B"/>
    <w:rsid w:val="00262EB8"/>
    <w:rsid w:val="002651DD"/>
    <w:rsid w:val="0026541A"/>
    <w:rsid w:val="00265B05"/>
    <w:rsid w:val="00265E3E"/>
    <w:rsid w:val="00267822"/>
    <w:rsid w:val="002678C5"/>
    <w:rsid w:val="00267FDE"/>
    <w:rsid w:val="00271545"/>
    <w:rsid w:val="002730CB"/>
    <w:rsid w:val="002744C9"/>
    <w:rsid w:val="00275028"/>
    <w:rsid w:val="0027742B"/>
    <w:rsid w:val="002829A8"/>
    <w:rsid w:val="00285E1F"/>
    <w:rsid w:val="0028660C"/>
    <w:rsid w:val="0028771D"/>
    <w:rsid w:val="00291922"/>
    <w:rsid w:val="00291B46"/>
    <w:rsid w:val="0029384F"/>
    <w:rsid w:val="002938DD"/>
    <w:rsid w:val="00293C40"/>
    <w:rsid w:val="00294A91"/>
    <w:rsid w:val="00296251"/>
    <w:rsid w:val="00296F5F"/>
    <w:rsid w:val="00297282"/>
    <w:rsid w:val="00297428"/>
    <w:rsid w:val="002A0335"/>
    <w:rsid w:val="002A0A60"/>
    <w:rsid w:val="002A228B"/>
    <w:rsid w:val="002A687B"/>
    <w:rsid w:val="002B0874"/>
    <w:rsid w:val="002B3130"/>
    <w:rsid w:val="002B4CFD"/>
    <w:rsid w:val="002B6BCA"/>
    <w:rsid w:val="002B7324"/>
    <w:rsid w:val="002C16DB"/>
    <w:rsid w:val="002C2444"/>
    <w:rsid w:val="002C3B8C"/>
    <w:rsid w:val="002C422A"/>
    <w:rsid w:val="002C5956"/>
    <w:rsid w:val="002C6F8B"/>
    <w:rsid w:val="002D062F"/>
    <w:rsid w:val="002D0BB0"/>
    <w:rsid w:val="002D6741"/>
    <w:rsid w:val="002D70E6"/>
    <w:rsid w:val="002E23EE"/>
    <w:rsid w:val="002E3B44"/>
    <w:rsid w:val="002E7DBF"/>
    <w:rsid w:val="002F131C"/>
    <w:rsid w:val="002F2EA2"/>
    <w:rsid w:val="002F4520"/>
    <w:rsid w:val="002F4A35"/>
    <w:rsid w:val="002F6A46"/>
    <w:rsid w:val="00311350"/>
    <w:rsid w:val="00311C74"/>
    <w:rsid w:val="00311D71"/>
    <w:rsid w:val="003160F1"/>
    <w:rsid w:val="00316D45"/>
    <w:rsid w:val="003203E9"/>
    <w:rsid w:val="0032364E"/>
    <w:rsid w:val="003245FF"/>
    <w:rsid w:val="003257E9"/>
    <w:rsid w:val="00327662"/>
    <w:rsid w:val="00332FCB"/>
    <w:rsid w:val="00334078"/>
    <w:rsid w:val="0033569D"/>
    <w:rsid w:val="003366F4"/>
    <w:rsid w:val="00337D84"/>
    <w:rsid w:val="003432D5"/>
    <w:rsid w:val="003458D3"/>
    <w:rsid w:val="00350A99"/>
    <w:rsid w:val="0035133F"/>
    <w:rsid w:val="00355F94"/>
    <w:rsid w:val="00356103"/>
    <w:rsid w:val="00361FAE"/>
    <w:rsid w:val="0036343E"/>
    <w:rsid w:val="00363E95"/>
    <w:rsid w:val="00364598"/>
    <w:rsid w:val="00367838"/>
    <w:rsid w:val="00371648"/>
    <w:rsid w:val="0037272E"/>
    <w:rsid w:val="003757A3"/>
    <w:rsid w:val="0038020E"/>
    <w:rsid w:val="00380340"/>
    <w:rsid w:val="00380C3A"/>
    <w:rsid w:val="00382ADC"/>
    <w:rsid w:val="0038416C"/>
    <w:rsid w:val="0038538F"/>
    <w:rsid w:val="00385B6F"/>
    <w:rsid w:val="003870B4"/>
    <w:rsid w:val="003901BE"/>
    <w:rsid w:val="00391112"/>
    <w:rsid w:val="003916CC"/>
    <w:rsid w:val="00391BE7"/>
    <w:rsid w:val="00392C4F"/>
    <w:rsid w:val="00393249"/>
    <w:rsid w:val="003941FF"/>
    <w:rsid w:val="00394D47"/>
    <w:rsid w:val="003A1E85"/>
    <w:rsid w:val="003A3121"/>
    <w:rsid w:val="003A3F76"/>
    <w:rsid w:val="003A5AE0"/>
    <w:rsid w:val="003B0128"/>
    <w:rsid w:val="003B06A2"/>
    <w:rsid w:val="003B157E"/>
    <w:rsid w:val="003B38EA"/>
    <w:rsid w:val="003B3B2C"/>
    <w:rsid w:val="003C066E"/>
    <w:rsid w:val="003C0BBB"/>
    <w:rsid w:val="003D06D5"/>
    <w:rsid w:val="003D405D"/>
    <w:rsid w:val="003D50B9"/>
    <w:rsid w:val="003D5CA6"/>
    <w:rsid w:val="003D6ABF"/>
    <w:rsid w:val="003D703F"/>
    <w:rsid w:val="003E15EF"/>
    <w:rsid w:val="003E1C18"/>
    <w:rsid w:val="003E2B41"/>
    <w:rsid w:val="003E4CDC"/>
    <w:rsid w:val="003E594D"/>
    <w:rsid w:val="003E5DA9"/>
    <w:rsid w:val="003F00AD"/>
    <w:rsid w:val="003F10D4"/>
    <w:rsid w:val="003F1A82"/>
    <w:rsid w:val="003F285B"/>
    <w:rsid w:val="003F6BB6"/>
    <w:rsid w:val="00400455"/>
    <w:rsid w:val="0040129F"/>
    <w:rsid w:val="0040576D"/>
    <w:rsid w:val="00405A4C"/>
    <w:rsid w:val="00412C4B"/>
    <w:rsid w:val="004154E6"/>
    <w:rsid w:val="00416584"/>
    <w:rsid w:val="00416B56"/>
    <w:rsid w:val="0041768A"/>
    <w:rsid w:val="00421C33"/>
    <w:rsid w:val="0042281B"/>
    <w:rsid w:val="00422D97"/>
    <w:rsid w:val="0042311E"/>
    <w:rsid w:val="004235F0"/>
    <w:rsid w:val="004246F0"/>
    <w:rsid w:val="00425443"/>
    <w:rsid w:val="004258E7"/>
    <w:rsid w:val="00425BBA"/>
    <w:rsid w:val="00426531"/>
    <w:rsid w:val="00426547"/>
    <w:rsid w:val="00427D8C"/>
    <w:rsid w:val="00430FE7"/>
    <w:rsid w:val="00431D65"/>
    <w:rsid w:val="00432082"/>
    <w:rsid w:val="00432C68"/>
    <w:rsid w:val="0043442B"/>
    <w:rsid w:val="00434B2A"/>
    <w:rsid w:val="0043567E"/>
    <w:rsid w:val="00436A82"/>
    <w:rsid w:val="00441187"/>
    <w:rsid w:val="00442CA7"/>
    <w:rsid w:val="00442CE2"/>
    <w:rsid w:val="004440EF"/>
    <w:rsid w:val="0044518F"/>
    <w:rsid w:val="00445950"/>
    <w:rsid w:val="00447CE8"/>
    <w:rsid w:val="00450617"/>
    <w:rsid w:val="00451618"/>
    <w:rsid w:val="00451CF7"/>
    <w:rsid w:val="00451FBD"/>
    <w:rsid w:val="00453419"/>
    <w:rsid w:val="00453A0A"/>
    <w:rsid w:val="004577D8"/>
    <w:rsid w:val="004579ED"/>
    <w:rsid w:val="00463E95"/>
    <w:rsid w:val="004666E6"/>
    <w:rsid w:val="00471D25"/>
    <w:rsid w:val="00473BB9"/>
    <w:rsid w:val="00474A9F"/>
    <w:rsid w:val="0047528D"/>
    <w:rsid w:val="00476132"/>
    <w:rsid w:val="004772E4"/>
    <w:rsid w:val="0048138C"/>
    <w:rsid w:val="00481D02"/>
    <w:rsid w:val="00483080"/>
    <w:rsid w:val="00483EB7"/>
    <w:rsid w:val="00484DA2"/>
    <w:rsid w:val="00485F75"/>
    <w:rsid w:val="00492090"/>
    <w:rsid w:val="00492B88"/>
    <w:rsid w:val="00493D7C"/>
    <w:rsid w:val="004948BE"/>
    <w:rsid w:val="00494946"/>
    <w:rsid w:val="0049595B"/>
    <w:rsid w:val="004A0684"/>
    <w:rsid w:val="004A3D9F"/>
    <w:rsid w:val="004A6913"/>
    <w:rsid w:val="004A6B20"/>
    <w:rsid w:val="004B11F0"/>
    <w:rsid w:val="004B3A4D"/>
    <w:rsid w:val="004B3BCD"/>
    <w:rsid w:val="004B3EBC"/>
    <w:rsid w:val="004B51CC"/>
    <w:rsid w:val="004B6045"/>
    <w:rsid w:val="004B691C"/>
    <w:rsid w:val="004B7140"/>
    <w:rsid w:val="004C15C5"/>
    <w:rsid w:val="004C1A14"/>
    <w:rsid w:val="004C2BD7"/>
    <w:rsid w:val="004C483F"/>
    <w:rsid w:val="004C53A6"/>
    <w:rsid w:val="004C63BB"/>
    <w:rsid w:val="004C647D"/>
    <w:rsid w:val="004D0025"/>
    <w:rsid w:val="004D068B"/>
    <w:rsid w:val="004D06F6"/>
    <w:rsid w:val="004D17DA"/>
    <w:rsid w:val="004D244D"/>
    <w:rsid w:val="004D54CA"/>
    <w:rsid w:val="004D6CFA"/>
    <w:rsid w:val="004D7AEE"/>
    <w:rsid w:val="004E1A5E"/>
    <w:rsid w:val="004E256D"/>
    <w:rsid w:val="004E34C0"/>
    <w:rsid w:val="004E4D5F"/>
    <w:rsid w:val="004E53DA"/>
    <w:rsid w:val="004E64D6"/>
    <w:rsid w:val="004F0D03"/>
    <w:rsid w:val="004F1683"/>
    <w:rsid w:val="004F4014"/>
    <w:rsid w:val="004F47D7"/>
    <w:rsid w:val="004F610A"/>
    <w:rsid w:val="004F6630"/>
    <w:rsid w:val="004F664E"/>
    <w:rsid w:val="005000A6"/>
    <w:rsid w:val="00504B90"/>
    <w:rsid w:val="00505B77"/>
    <w:rsid w:val="0051100C"/>
    <w:rsid w:val="00511023"/>
    <w:rsid w:val="00511D56"/>
    <w:rsid w:val="00512644"/>
    <w:rsid w:val="00513A28"/>
    <w:rsid w:val="00514299"/>
    <w:rsid w:val="00514C61"/>
    <w:rsid w:val="00516246"/>
    <w:rsid w:val="005162D0"/>
    <w:rsid w:val="00517C59"/>
    <w:rsid w:val="00521922"/>
    <w:rsid w:val="00524497"/>
    <w:rsid w:val="00526920"/>
    <w:rsid w:val="0053180C"/>
    <w:rsid w:val="00532F1F"/>
    <w:rsid w:val="00533C54"/>
    <w:rsid w:val="0053416A"/>
    <w:rsid w:val="0053477A"/>
    <w:rsid w:val="005359C1"/>
    <w:rsid w:val="00535FD4"/>
    <w:rsid w:val="00537CCB"/>
    <w:rsid w:val="00542746"/>
    <w:rsid w:val="00542F77"/>
    <w:rsid w:val="005439DB"/>
    <w:rsid w:val="005516B3"/>
    <w:rsid w:val="00552EE6"/>
    <w:rsid w:val="00553089"/>
    <w:rsid w:val="00555C23"/>
    <w:rsid w:val="00562B72"/>
    <w:rsid w:val="00562C25"/>
    <w:rsid w:val="00563528"/>
    <w:rsid w:val="00564DE8"/>
    <w:rsid w:val="00565248"/>
    <w:rsid w:val="0057119C"/>
    <w:rsid w:val="005711D2"/>
    <w:rsid w:val="00572B75"/>
    <w:rsid w:val="00573298"/>
    <w:rsid w:val="00574A1F"/>
    <w:rsid w:val="0057557F"/>
    <w:rsid w:val="00575AE9"/>
    <w:rsid w:val="00576921"/>
    <w:rsid w:val="00576FF5"/>
    <w:rsid w:val="00582288"/>
    <w:rsid w:val="00582301"/>
    <w:rsid w:val="00583692"/>
    <w:rsid w:val="00583D51"/>
    <w:rsid w:val="00584864"/>
    <w:rsid w:val="005850F6"/>
    <w:rsid w:val="0058529C"/>
    <w:rsid w:val="00585450"/>
    <w:rsid w:val="005876B4"/>
    <w:rsid w:val="00592AA8"/>
    <w:rsid w:val="005942E8"/>
    <w:rsid w:val="00595D6B"/>
    <w:rsid w:val="00595DFE"/>
    <w:rsid w:val="005A4ABD"/>
    <w:rsid w:val="005A6B48"/>
    <w:rsid w:val="005B1239"/>
    <w:rsid w:val="005B15A3"/>
    <w:rsid w:val="005B1DA0"/>
    <w:rsid w:val="005B34AA"/>
    <w:rsid w:val="005B6716"/>
    <w:rsid w:val="005B73AC"/>
    <w:rsid w:val="005C144B"/>
    <w:rsid w:val="005C1928"/>
    <w:rsid w:val="005C1A1E"/>
    <w:rsid w:val="005C38B6"/>
    <w:rsid w:val="005C5CEF"/>
    <w:rsid w:val="005C60A4"/>
    <w:rsid w:val="005C7095"/>
    <w:rsid w:val="005C7442"/>
    <w:rsid w:val="005C75ED"/>
    <w:rsid w:val="005C789B"/>
    <w:rsid w:val="005C7D1C"/>
    <w:rsid w:val="005D48C0"/>
    <w:rsid w:val="005D6D4B"/>
    <w:rsid w:val="005D6F8C"/>
    <w:rsid w:val="005D6FFD"/>
    <w:rsid w:val="005E093F"/>
    <w:rsid w:val="005E39F3"/>
    <w:rsid w:val="005E42FA"/>
    <w:rsid w:val="005F1F08"/>
    <w:rsid w:val="005F24B9"/>
    <w:rsid w:val="005F3272"/>
    <w:rsid w:val="005F4192"/>
    <w:rsid w:val="005F4D80"/>
    <w:rsid w:val="005F5492"/>
    <w:rsid w:val="005F5CBD"/>
    <w:rsid w:val="005F772E"/>
    <w:rsid w:val="005F7D6A"/>
    <w:rsid w:val="0060107C"/>
    <w:rsid w:val="00603819"/>
    <w:rsid w:val="0060433C"/>
    <w:rsid w:val="006043B8"/>
    <w:rsid w:val="0060505C"/>
    <w:rsid w:val="006066AD"/>
    <w:rsid w:val="00607234"/>
    <w:rsid w:val="00610AA8"/>
    <w:rsid w:val="00611252"/>
    <w:rsid w:val="006113A8"/>
    <w:rsid w:val="00612014"/>
    <w:rsid w:val="0061208B"/>
    <w:rsid w:val="0061223F"/>
    <w:rsid w:val="00615C6F"/>
    <w:rsid w:val="0061644B"/>
    <w:rsid w:val="00616F42"/>
    <w:rsid w:val="006218C8"/>
    <w:rsid w:val="00621E57"/>
    <w:rsid w:val="00624551"/>
    <w:rsid w:val="006269E9"/>
    <w:rsid w:val="00627419"/>
    <w:rsid w:val="00627B2D"/>
    <w:rsid w:val="00627EB9"/>
    <w:rsid w:val="00630039"/>
    <w:rsid w:val="00631F2B"/>
    <w:rsid w:val="006320E8"/>
    <w:rsid w:val="0063250A"/>
    <w:rsid w:val="006335DE"/>
    <w:rsid w:val="0063497C"/>
    <w:rsid w:val="00634E31"/>
    <w:rsid w:val="00635341"/>
    <w:rsid w:val="00636467"/>
    <w:rsid w:val="00636A37"/>
    <w:rsid w:val="00636C73"/>
    <w:rsid w:val="00637DD5"/>
    <w:rsid w:val="00643B0A"/>
    <w:rsid w:val="00643EC3"/>
    <w:rsid w:val="006451BE"/>
    <w:rsid w:val="00646D34"/>
    <w:rsid w:val="0064736E"/>
    <w:rsid w:val="0064794F"/>
    <w:rsid w:val="00647C6B"/>
    <w:rsid w:val="0065107E"/>
    <w:rsid w:val="006517F9"/>
    <w:rsid w:val="00651A4C"/>
    <w:rsid w:val="00653F9F"/>
    <w:rsid w:val="0065450C"/>
    <w:rsid w:val="00655C13"/>
    <w:rsid w:val="00657389"/>
    <w:rsid w:val="00662673"/>
    <w:rsid w:val="00662DAC"/>
    <w:rsid w:val="0066523F"/>
    <w:rsid w:val="00666019"/>
    <w:rsid w:val="006661BD"/>
    <w:rsid w:val="00666277"/>
    <w:rsid w:val="00670565"/>
    <w:rsid w:val="00670888"/>
    <w:rsid w:val="00670BF8"/>
    <w:rsid w:val="00672C94"/>
    <w:rsid w:val="00674D98"/>
    <w:rsid w:val="00675364"/>
    <w:rsid w:val="00675F6A"/>
    <w:rsid w:val="006802A3"/>
    <w:rsid w:val="00680416"/>
    <w:rsid w:val="006842F6"/>
    <w:rsid w:val="006868CC"/>
    <w:rsid w:val="00690665"/>
    <w:rsid w:val="00690705"/>
    <w:rsid w:val="0069383E"/>
    <w:rsid w:val="00694561"/>
    <w:rsid w:val="00695788"/>
    <w:rsid w:val="00696EFE"/>
    <w:rsid w:val="00697382"/>
    <w:rsid w:val="006A13C5"/>
    <w:rsid w:val="006A1788"/>
    <w:rsid w:val="006A551F"/>
    <w:rsid w:val="006A58B0"/>
    <w:rsid w:val="006A74CD"/>
    <w:rsid w:val="006B0295"/>
    <w:rsid w:val="006B16CE"/>
    <w:rsid w:val="006B2004"/>
    <w:rsid w:val="006B381F"/>
    <w:rsid w:val="006B5B43"/>
    <w:rsid w:val="006B5BDB"/>
    <w:rsid w:val="006B64EB"/>
    <w:rsid w:val="006C0122"/>
    <w:rsid w:val="006C3408"/>
    <w:rsid w:val="006C4578"/>
    <w:rsid w:val="006C520C"/>
    <w:rsid w:val="006C5643"/>
    <w:rsid w:val="006C6863"/>
    <w:rsid w:val="006D2272"/>
    <w:rsid w:val="006D417B"/>
    <w:rsid w:val="006D4ED7"/>
    <w:rsid w:val="006D6E8B"/>
    <w:rsid w:val="006D7283"/>
    <w:rsid w:val="006D72E8"/>
    <w:rsid w:val="006E0436"/>
    <w:rsid w:val="006E0623"/>
    <w:rsid w:val="006E402E"/>
    <w:rsid w:val="006E49ED"/>
    <w:rsid w:val="006E63C0"/>
    <w:rsid w:val="006E748B"/>
    <w:rsid w:val="006F160B"/>
    <w:rsid w:val="006F2AA5"/>
    <w:rsid w:val="006F4113"/>
    <w:rsid w:val="006F4997"/>
    <w:rsid w:val="006F4BE3"/>
    <w:rsid w:val="006F6941"/>
    <w:rsid w:val="006F6B22"/>
    <w:rsid w:val="006F6C19"/>
    <w:rsid w:val="006F6FAE"/>
    <w:rsid w:val="006F7E3D"/>
    <w:rsid w:val="007003A6"/>
    <w:rsid w:val="007003E3"/>
    <w:rsid w:val="00702366"/>
    <w:rsid w:val="00704811"/>
    <w:rsid w:val="00704D8D"/>
    <w:rsid w:val="007057DB"/>
    <w:rsid w:val="00705BCF"/>
    <w:rsid w:val="007065CD"/>
    <w:rsid w:val="00710B0C"/>
    <w:rsid w:val="00710EAD"/>
    <w:rsid w:val="007145E9"/>
    <w:rsid w:val="00715301"/>
    <w:rsid w:val="0071563B"/>
    <w:rsid w:val="007159FB"/>
    <w:rsid w:val="007161F4"/>
    <w:rsid w:val="007170C3"/>
    <w:rsid w:val="007170F4"/>
    <w:rsid w:val="0072133B"/>
    <w:rsid w:val="00723311"/>
    <w:rsid w:val="00724EB0"/>
    <w:rsid w:val="007252F0"/>
    <w:rsid w:val="0072585B"/>
    <w:rsid w:val="00726317"/>
    <w:rsid w:val="00726690"/>
    <w:rsid w:val="00730DB8"/>
    <w:rsid w:val="00733901"/>
    <w:rsid w:val="00733C09"/>
    <w:rsid w:val="00734D45"/>
    <w:rsid w:val="0073508F"/>
    <w:rsid w:val="00735992"/>
    <w:rsid w:val="0073755A"/>
    <w:rsid w:val="00740305"/>
    <w:rsid w:val="0074149B"/>
    <w:rsid w:val="007444AA"/>
    <w:rsid w:val="0074655E"/>
    <w:rsid w:val="00750312"/>
    <w:rsid w:val="007517FA"/>
    <w:rsid w:val="00754D40"/>
    <w:rsid w:val="00755AA4"/>
    <w:rsid w:val="007566CE"/>
    <w:rsid w:val="00756C41"/>
    <w:rsid w:val="0075789A"/>
    <w:rsid w:val="00760CA4"/>
    <w:rsid w:val="007611A8"/>
    <w:rsid w:val="00762909"/>
    <w:rsid w:val="00764976"/>
    <w:rsid w:val="007657AF"/>
    <w:rsid w:val="00765982"/>
    <w:rsid w:val="0076695A"/>
    <w:rsid w:val="007670C5"/>
    <w:rsid w:val="00767DDD"/>
    <w:rsid w:val="00767E17"/>
    <w:rsid w:val="00770F37"/>
    <w:rsid w:val="00773434"/>
    <w:rsid w:val="0077396F"/>
    <w:rsid w:val="0077517B"/>
    <w:rsid w:val="00776F03"/>
    <w:rsid w:val="00777134"/>
    <w:rsid w:val="00777607"/>
    <w:rsid w:val="00784B67"/>
    <w:rsid w:val="00786CBA"/>
    <w:rsid w:val="00787818"/>
    <w:rsid w:val="007903CB"/>
    <w:rsid w:val="00790B02"/>
    <w:rsid w:val="00790FFE"/>
    <w:rsid w:val="00792040"/>
    <w:rsid w:val="00796132"/>
    <w:rsid w:val="007976D6"/>
    <w:rsid w:val="007A2B2A"/>
    <w:rsid w:val="007A542B"/>
    <w:rsid w:val="007B0374"/>
    <w:rsid w:val="007B0506"/>
    <w:rsid w:val="007B24C1"/>
    <w:rsid w:val="007B2FAE"/>
    <w:rsid w:val="007B3021"/>
    <w:rsid w:val="007B655C"/>
    <w:rsid w:val="007B7547"/>
    <w:rsid w:val="007B7863"/>
    <w:rsid w:val="007C131A"/>
    <w:rsid w:val="007C4EA6"/>
    <w:rsid w:val="007C57D2"/>
    <w:rsid w:val="007D575C"/>
    <w:rsid w:val="007D58CF"/>
    <w:rsid w:val="007D6E44"/>
    <w:rsid w:val="007E0685"/>
    <w:rsid w:val="007E1526"/>
    <w:rsid w:val="007E1B31"/>
    <w:rsid w:val="007E276E"/>
    <w:rsid w:val="007E29D0"/>
    <w:rsid w:val="007E470A"/>
    <w:rsid w:val="007E5490"/>
    <w:rsid w:val="007E598E"/>
    <w:rsid w:val="007E751C"/>
    <w:rsid w:val="007F03C4"/>
    <w:rsid w:val="007F3553"/>
    <w:rsid w:val="007F3A52"/>
    <w:rsid w:val="007F6A3C"/>
    <w:rsid w:val="008005B8"/>
    <w:rsid w:val="00801F8F"/>
    <w:rsid w:val="00802BF6"/>
    <w:rsid w:val="008062C4"/>
    <w:rsid w:val="00806AA2"/>
    <w:rsid w:val="00806E8A"/>
    <w:rsid w:val="00807BF4"/>
    <w:rsid w:val="008115C5"/>
    <w:rsid w:val="00812148"/>
    <w:rsid w:val="00816D83"/>
    <w:rsid w:val="00824344"/>
    <w:rsid w:val="00824635"/>
    <w:rsid w:val="0082522B"/>
    <w:rsid w:val="00833C78"/>
    <w:rsid w:val="00836419"/>
    <w:rsid w:val="00836B5E"/>
    <w:rsid w:val="00836C0C"/>
    <w:rsid w:val="00840762"/>
    <w:rsid w:val="00840D06"/>
    <w:rsid w:val="00842C80"/>
    <w:rsid w:val="00843009"/>
    <w:rsid w:val="00843CA4"/>
    <w:rsid w:val="00845802"/>
    <w:rsid w:val="00846395"/>
    <w:rsid w:val="0084708E"/>
    <w:rsid w:val="0085002E"/>
    <w:rsid w:val="00852E0C"/>
    <w:rsid w:val="00855B4E"/>
    <w:rsid w:val="0085638C"/>
    <w:rsid w:val="00856C17"/>
    <w:rsid w:val="00856D36"/>
    <w:rsid w:val="00857CC8"/>
    <w:rsid w:val="00857E0B"/>
    <w:rsid w:val="00860F82"/>
    <w:rsid w:val="008611E5"/>
    <w:rsid w:val="00861F65"/>
    <w:rsid w:val="00862BEC"/>
    <w:rsid w:val="008650BA"/>
    <w:rsid w:val="0086514A"/>
    <w:rsid w:val="008664AB"/>
    <w:rsid w:val="00866E14"/>
    <w:rsid w:val="00871D81"/>
    <w:rsid w:val="00874569"/>
    <w:rsid w:val="00874C5F"/>
    <w:rsid w:val="008750A0"/>
    <w:rsid w:val="0087577E"/>
    <w:rsid w:val="00884888"/>
    <w:rsid w:val="00884CF5"/>
    <w:rsid w:val="0088567C"/>
    <w:rsid w:val="0088658B"/>
    <w:rsid w:val="00887982"/>
    <w:rsid w:val="00892115"/>
    <w:rsid w:val="00896AFF"/>
    <w:rsid w:val="008A523D"/>
    <w:rsid w:val="008A5348"/>
    <w:rsid w:val="008A53C4"/>
    <w:rsid w:val="008A5BFE"/>
    <w:rsid w:val="008A5DC0"/>
    <w:rsid w:val="008B0B63"/>
    <w:rsid w:val="008B3F2B"/>
    <w:rsid w:val="008B3F4E"/>
    <w:rsid w:val="008B6F5A"/>
    <w:rsid w:val="008C13EF"/>
    <w:rsid w:val="008C3D51"/>
    <w:rsid w:val="008C523F"/>
    <w:rsid w:val="008C646D"/>
    <w:rsid w:val="008C6507"/>
    <w:rsid w:val="008C71FD"/>
    <w:rsid w:val="008C730E"/>
    <w:rsid w:val="008C7758"/>
    <w:rsid w:val="008D2D3B"/>
    <w:rsid w:val="008D36F1"/>
    <w:rsid w:val="008D61A6"/>
    <w:rsid w:val="008E4A54"/>
    <w:rsid w:val="008E4AD6"/>
    <w:rsid w:val="008E5345"/>
    <w:rsid w:val="008E7E6A"/>
    <w:rsid w:val="008F21AE"/>
    <w:rsid w:val="008F2484"/>
    <w:rsid w:val="008F5F98"/>
    <w:rsid w:val="008F6C04"/>
    <w:rsid w:val="009004C5"/>
    <w:rsid w:val="0090072D"/>
    <w:rsid w:val="009019D5"/>
    <w:rsid w:val="00902030"/>
    <w:rsid w:val="0090695F"/>
    <w:rsid w:val="00906BD8"/>
    <w:rsid w:val="009074AD"/>
    <w:rsid w:val="0090775B"/>
    <w:rsid w:val="0091001E"/>
    <w:rsid w:val="009128E8"/>
    <w:rsid w:val="009131A0"/>
    <w:rsid w:val="00913F66"/>
    <w:rsid w:val="00914D87"/>
    <w:rsid w:val="00921591"/>
    <w:rsid w:val="00921820"/>
    <w:rsid w:val="0092257B"/>
    <w:rsid w:val="009231C2"/>
    <w:rsid w:val="009255A4"/>
    <w:rsid w:val="00925EC7"/>
    <w:rsid w:val="009313A1"/>
    <w:rsid w:val="00933CDA"/>
    <w:rsid w:val="0093424A"/>
    <w:rsid w:val="00934337"/>
    <w:rsid w:val="00934594"/>
    <w:rsid w:val="00934ACE"/>
    <w:rsid w:val="009402E2"/>
    <w:rsid w:val="00941597"/>
    <w:rsid w:val="00941D2D"/>
    <w:rsid w:val="00943157"/>
    <w:rsid w:val="00947CDC"/>
    <w:rsid w:val="00947D30"/>
    <w:rsid w:val="00950F39"/>
    <w:rsid w:val="0095151C"/>
    <w:rsid w:val="009515D0"/>
    <w:rsid w:val="0095166C"/>
    <w:rsid w:val="00955721"/>
    <w:rsid w:val="00956897"/>
    <w:rsid w:val="009571B1"/>
    <w:rsid w:val="00960742"/>
    <w:rsid w:val="00964C99"/>
    <w:rsid w:val="00973652"/>
    <w:rsid w:val="00973DEE"/>
    <w:rsid w:val="00976B36"/>
    <w:rsid w:val="00976BEB"/>
    <w:rsid w:val="00977C55"/>
    <w:rsid w:val="00980F49"/>
    <w:rsid w:val="00985990"/>
    <w:rsid w:val="009870FD"/>
    <w:rsid w:val="0098730C"/>
    <w:rsid w:val="009940AD"/>
    <w:rsid w:val="009944D8"/>
    <w:rsid w:val="00994835"/>
    <w:rsid w:val="00995283"/>
    <w:rsid w:val="009A051D"/>
    <w:rsid w:val="009A1653"/>
    <w:rsid w:val="009A3EC1"/>
    <w:rsid w:val="009A4277"/>
    <w:rsid w:val="009A6F6B"/>
    <w:rsid w:val="009B0075"/>
    <w:rsid w:val="009B47DD"/>
    <w:rsid w:val="009B7325"/>
    <w:rsid w:val="009C19EF"/>
    <w:rsid w:val="009C3630"/>
    <w:rsid w:val="009C385F"/>
    <w:rsid w:val="009C41B4"/>
    <w:rsid w:val="009C43B0"/>
    <w:rsid w:val="009C57BA"/>
    <w:rsid w:val="009C5943"/>
    <w:rsid w:val="009C5A7D"/>
    <w:rsid w:val="009D027F"/>
    <w:rsid w:val="009D1692"/>
    <w:rsid w:val="009D2166"/>
    <w:rsid w:val="009D36C1"/>
    <w:rsid w:val="009D5ACF"/>
    <w:rsid w:val="009D5BB2"/>
    <w:rsid w:val="009D5FA6"/>
    <w:rsid w:val="009E05C7"/>
    <w:rsid w:val="009E0C9A"/>
    <w:rsid w:val="009E4E12"/>
    <w:rsid w:val="009E52D6"/>
    <w:rsid w:val="009E5DC8"/>
    <w:rsid w:val="009E68FB"/>
    <w:rsid w:val="009E6F4E"/>
    <w:rsid w:val="009F0905"/>
    <w:rsid w:val="009F0C5B"/>
    <w:rsid w:val="009F26A6"/>
    <w:rsid w:val="009F2E20"/>
    <w:rsid w:val="009F31A4"/>
    <w:rsid w:val="009F4498"/>
    <w:rsid w:val="009F630B"/>
    <w:rsid w:val="009F6E35"/>
    <w:rsid w:val="00A00A7B"/>
    <w:rsid w:val="00A0324F"/>
    <w:rsid w:val="00A03550"/>
    <w:rsid w:val="00A045D1"/>
    <w:rsid w:val="00A04C7A"/>
    <w:rsid w:val="00A065C8"/>
    <w:rsid w:val="00A07C90"/>
    <w:rsid w:val="00A11480"/>
    <w:rsid w:val="00A11623"/>
    <w:rsid w:val="00A117B3"/>
    <w:rsid w:val="00A12FBC"/>
    <w:rsid w:val="00A15E50"/>
    <w:rsid w:val="00A16897"/>
    <w:rsid w:val="00A2372F"/>
    <w:rsid w:val="00A300B5"/>
    <w:rsid w:val="00A3019A"/>
    <w:rsid w:val="00A3114C"/>
    <w:rsid w:val="00A3322B"/>
    <w:rsid w:val="00A33D28"/>
    <w:rsid w:val="00A34CAF"/>
    <w:rsid w:val="00A35CB0"/>
    <w:rsid w:val="00A36F34"/>
    <w:rsid w:val="00A40ECD"/>
    <w:rsid w:val="00A413F6"/>
    <w:rsid w:val="00A421C0"/>
    <w:rsid w:val="00A437AD"/>
    <w:rsid w:val="00A4544D"/>
    <w:rsid w:val="00A50C8C"/>
    <w:rsid w:val="00A50CB0"/>
    <w:rsid w:val="00A50E48"/>
    <w:rsid w:val="00A5402E"/>
    <w:rsid w:val="00A54567"/>
    <w:rsid w:val="00A5688D"/>
    <w:rsid w:val="00A569B0"/>
    <w:rsid w:val="00A572D3"/>
    <w:rsid w:val="00A57CF8"/>
    <w:rsid w:val="00A60F2E"/>
    <w:rsid w:val="00A625F5"/>
    <w:rsid w:val="00A64CAA"/>
    <w:rsid w:val="00A652EA"/>
    <w:rsid w:val="00A71B73"/>
    <w:rsid w:val="00A71EA4"/>
    <w:rsid w:val="00A73E58"/>
    <w:rsid w:val="00A74E29"/>
    <w:rsid w:val="00A7620D"/>
    <w:rsid w:val="00A81230"/>
    <w:rsid w:val="00A81D57"/>
    <w:rsid w:val="00A8298D"/>
    <w:rsid w:val="00A83413"/>
    <w:rsid w:val="00A84941"/>
    <w:rsid w:val="00A85577"/>
    <w:rsid w:val="00A869A6"/>
    <w:rsid w:val="00A86AAC"/>
    <w:rsid w:val="00A905FD"/>
    <w:rsid w:val="00A90F8A"/>
    <w:rsid w:val="00A91141"/>
    <w:rsid w:val="00A91EF0"/>
    <w:rsid w:val="00A96599"/>
    <w:rsid w:val="00A96758"/>
    <w:rsid w:val="00A979A4"/>
    <w:rsid w:val="00AA127D"/>
    <w:rsid w:val="00AA1761"/>
    <w:rsid w:val="00AA3D6A"/>
    <w:rsid w:val="00AA444A"/>
    <w:rsid w:val="00AA5BE7"/>
    <w:rsid w:val="00AA5C39"/>
    <w:rsid w:val="00AA5CC7"/>
    <w:rsid w:val="00AB16F2"/>
    <w:rsid w:val="00AB1D08"/>
    <w:rsid w:val="00AB362D"/>
    <w:rsid w:val="00AB552E"/>
    <w:rsid w:val="00AB5DC6"/>
    <w:rsid w:val="00AB64B1"/>
    <w:rsid w:val="00AB73B9"/>
    <w:rsid w:val="00AB74D5"/>
    <w:rsid w:val="00AC009F"/>
    <w:rsid w:val="00AC0D16"/>
    <w:rsid w:val="00AC4181"/>
    <w:rsid w:val="00AC4718"/>
    <w:rsid w:val="00AC4A2A"/>
    <w:rsid w:val="00AC52C8"/>
    <w:rsid w:val="00AC599A"/>
    <w:rsid w:val="00AC5CCC"/>
    <w:rsid w:val="00AD1319"/>
    <w:rsid w:val="00AD1660"/>
    <w:rsid w:val="00AD2DA5"/>
    <w:rsid w:val="00AD3547"/>
    <w:rsid w:val="00AD547C"/>
    <w:rsid w:val="00AD6340"/>
    <w:rsid w:val="00AD7195"/>
    <w:rsid w:val="00AE4210"/>
    <w:rsid w:val="00AE52EE"/>
    <w:rsid w:val="00AF0533"/>
    <w:rsid w:val="00AF0D5D"/>
    <w:rsid w:val="00AF17E9"/>
    <w:rsid w:val="00AF1D1B"/>
    <w:rsid w:val="00AF3801"/>
    <w:rsid w:val="00AF3D7E"/>
    <w:rsid w:val="00AF5ABB"/>
    <w:rsid w:val="00AF5E4A"/>
    <w:rsid w:val="00B007EE"/>
    <w:rsid w:val="00B00E3F"/>
    <w:rsid w:val="00B024AE"/>
    <w:rsid w:val="00B054C6"/>
    <w:rsid w:val="00B07DB9"/>
    <w:rsid w:val="00B102DA"/>
    <w:rsid w:val="00B1168F"/>
    <w:rsid w:val="00B12A49"/>
    <w:rsid w:val="00B133E4"/>
    <w:rsid w:val="00B14A56"/>
    <w:rsid w:val="00B14C89"/>
    <w:rsid w:val="00B1798C"/>
    <w:rsid w:val="00B20522"/>
    <w:rsid w:val="00B2089B"/>
    <w:rsid w:val="00B24E6F"/>
    <w:rsid w:val="00B25008"/>
    <w:rsid w:val="00B26205"/>
    <w:rsid w:val="00B26326"/>
    <w:rsid w:val="00B331CD"/>
    <w:rsid w:val="00B3334F"/>
    <w:rsid w:val="00B3556B"/>
    <w:rsid w:val="00B37ECD"/>
    <w:rsid w:val="00B4488F"/>
    <w:rsid w:val="00B449BC"/>
    <w:rsid w:val="00B46E0A"/>
    <w:rsid w:val="00B474DD"/>
    <w:rsid w:val="00B47967"/>
    <w:rsid w:val="00B523C0"/>
    <w:rsid w:val="00B5378D"/>
    <w:rsid w:val="00B54256"/>
    <w:rsid w:val="00B57402"/>
    <w:rsid w:val="00B60331"/>
    <w:rsid w:val="00B60E8D"/>
    <w:rsid w:val="00B6208F"/>
    <w:rsid w:val="00B62575"/>
    <w:rsid w:val="00B64A31"/>
    <w:rsid w:val="00B66168"/>
    <w:rsid w:val="00B661FE"/>
    <w:rsid w:val="00B66CDF"/>
    <w:rsid w:val="00B70394"/>
    <w:rsid w:val="00B70713"/>
    <w:rsid w:val="00B70AB5"/>
    <w:rsid w:val="00B71409"/>
    <w:rsid w:val="00B7607A"/>
    <w:rsid w:val="00B7747B"/>
    <w:rsid w:val="00B80A26"/>
    <w:rsid w:val="00B814F9"/>
    <w:rsid w:val="00B83A7E"/>
    <w:rsid w:val="00B84083"/>
    <w:rsid w:val="00B8553C"/>
    <w:rsid w:val="00B85B32"/>
    <w:rsid w:val="00B907EF"/>
    <w:rsid w:val="00B916C2"/>
    <w:rsid w:val="00B95F33"/>
    <w:rsid w:val="00B96AD3"/>
    <w:rsid w:val="00BA045D"/>
    <w:rsid w:val="00BA19EE"/>
    <w:rsid w:val="00BA1FB0"/>
    <w:rsid w:val="00BA2D48"/>
    <w:rsid w:val="00BA38E1"/>
    <w:rsid w:val="00BA45F0"/>
    <w:rsid w:val="00BA4827"/>
    <w:rsid w:val="00BA4B33"/>
    <w:rsid w:val="00BA5061"/>
    <w:rsid w:val="00BA56AD"/>
    <w:rsid w:val="00BB0022"/>
    <w:rsid w:val="00BB0D81"/>
    <w:rsid w:val="00BB0EAB"/>
    <w:rsid w:val="00BB2B18"/>
    <w:rsid w:val="00BB639F"/>
    <w:rsid w:val="00BC2036"/>
    <w:rsid w:val="00BC2482"/>
    <w:rsid w:val="00BC2540"/>
    <w:rsid w:val="00BC2602"/>
    <w:rsid w:val="00BC37BB"/>
    <w:rsid w:val="00BC7EDE"/>
    <w:rsid w:val="00BD178E"/>
    <w:rsid w:val="00BD6532"/>
    <w:rsid w:val="00BD7E9F"/>
    <w:rsid w:val="00BD7ED0"/>
    <w:rsid w:val="00BE2306"/>
    <w:rsid w:val="00BE2966"/>
    <w:rsid w:val="00BE3D61"/>
    <w:rsid w:val="00BE5387"/>
    <w:rsid w:val="00BE67D4"/>
    <w:rsid w:val="00BE7CFB"/>
    <w:rsid w:val="00BE7DEE"/>
    <w:rsid w:val="00BF0427"/>
    <w:rsid w:val="00BF0462"/>
    <w:rsid w:val="00BF1474"/>
    <w:rsid w:val="00BF1EAA"/>
    <w:rsid w:val="00BF2322"/>
    <w:rsid w:val="00BF2D1B"/>
    <w:rsid w:val="00BF4599"/>
    <w:rsid w:val="00BF46CF"/>
    <w:rsid w:val="00BF4EF1"/>
    <w:rsid w:val="00BF5130"/>
    <w:rsid w:val="00BF6A89"/>
    <w:rsid w:val="00C004DC"/>
    <w:rsid w:val="00C0548D"/>
    <w:rsid w:val="00C05625"/>
    <w:rsid w:val="00C06755"/>
    <w:rsid w:val="00C075D6"/>
    <w:rsid w:val="00C10B22"/>
    <w:rsid w:val="00C11575"/>
    <w:rsid w:val="00C12A98"/>
    <w:rsid w:val="00C15222"/>
    <w:rsid w:val="00C24E3F"/>
    <w:rsid w:val="00C24E43"/>
    <w:rsid w:val="00C25726"/>
    <w:rsid w:val="00C25A1D"/>
    <w:rsid w:val="00C30B9D"/>
    <w:rsid w:val="00C31B69"/>
    <w:rsid w:val="00C33CF2"/>
    <w:rsid w:val="00C35D8D"/>
    <w:rsid w:val="00C439CD"/>
    <w:rsid w:val="00C46C55"/>
    <w:rsid w:val="00C47447"/>
    <w:rsid w:val="00C47D8B"/>
    <w:rsid w:val="00C50481"/>
    <w:rsid w:val="00C51AFA"/>
    <w:rsid w:val="00C52477"/>
    <w:rsid w:val="00C53A62"/>
    <w:rsid w:val="00C54B5A"/>
    <w:rsid w:val="00C55D41"/>
    <w:rsid w:val="00C56E8B"/>
    <w:rsid w:val="00C56EFC"/>
    <w:rsid w:val="00C614D7"/>
    <w:rsid w:val="00C61DD9"/>
    <w:rsid w:val="00C61E84"/>
    <w:rsid w:val="00C63B56"/>
    <w:rsid w:val="00C644BC"/>
    <w:rsid w:val="00C65913"/>
    <w:rsid w:val="00C65C42"/>
    <w:rsid w:val="00C67C8E"/>
    <w:rsid w:val="00C70440"/>
    <w:rsid w:val="00C70F2B"/>
    <w:rsid w:val="00C74159"/>
    <w:rsid w:val="00C7500B"/>
    <w:rsid w:val="00C81EE4"/>
    <w:rsid w:val="00C82544"/>
    <w:rsid w:val="00C85692"/>
    <w:rsid w:val="00C86659"/>
    <w:rsid w:val="00C86934"/>
    <w:rsid w:val="00C869D5"/>
    <w:rsid w:val="00C878CE"/>
    <w:rsid w:val="00C87FB7"/>
    <w:rsid w:val="00C907EA"/>
    <w:rsid w:val="00C91240"/>
    <w:rsid w:val="00C9173D"/>
    <w:rsid w:val="00C92F3B"/>
    <w:rsid w:val="00C9396C"/>
    <w:rsid w:val="00C93A62"/>
    <w:rsid w:val="00C96AFE"/>
    <w:rsid w:val="00CA2A54"/>
    <w:rsid w:val="00CA33D8"/>
    <w:rsid w:val="00CA58F3"/>
    <w:rsid w:val="00CA6D00"/>
    <w:rsid w:val="00CB0DDE"/>
    <w:rsid w:val="00CB1514"/>
    <w:rsid w:val="00CB2525"/>
    <w:rsid w:val="00CB4776"/>
    <w:rsid w:val="00CB5A17"/>
    <w:rsid w:val="00CB5E6E"/>
    <w:rsid w:val="00CB6A8D"/>
    <w:rsid w:val="00CB73E1"/>
    <w:rsid w:val="00CC1C42"/>
    <w:rsid w:val="00CC2048"/>
    <w:rsid w:val="00CC3230"/>
    <w:rsid w:val="00CC4B7F"/>
    <w:rsid w:val="00CD0879"/>
    <w:rsid w:val="00CD0FC3"/>
    <w:rsid w:val="00CD29D9"/>
    <w:rsid w:val="00CD4AB3"/>
    <w:rsid w:val="00CD56D0"/>
    <w:rsid w:val="00CD769A"/>
    <w:rsid w:val="00CE2101"/>
    <w:rsid w:val="00CE2D99"/>
    <w:rsid w:val="00CE2E69"/>
    <w:rsid w:val="00CE5612"/>
    <w:rsid w:val="00CE6993"/>
    <w:rsid w:val="00CE6C71"/>
    <w:rsid w:val="00CE7EF1"/>
    <w:rsid w:val="00CF059C"/>
    <w:rsid w:val="00CF2280"/>
    <w:rsid w:val="00CF2E7E"/>
    <w:rsid w:val="00CF4A84"/>
    <w:rsid w:val="00D0796E"/>
    <w:rsid w:val="00D1235F"/>
    <w:rsid w:val="00D1598F"/>
    <w:rsid w:val="00D15D18"/>
    <w:rsid w:val="00D16B1E"/>
    <w:rsid w:val="00D172A5"/>
    <w:rsid w:val="00D17C91"/>
    <w:rsid w:val="00D21388"/>
    <w:rsid w:val="00D22A86"/>
    <w:rsid w:val="00D248D1"/>
    <w:rsid w:val="00D25334"/>
    <w:rsid w:val="00D322FF"/>
    <w:rsid w:val="00D348F7"/>
    <w:rsid w:val="00D35461"/>
    <w:rsid w:val="00D41F20"/>
    <w:rsid w:val="00D4603F"/>
    <w:rsid w:val="00D5077F"/>
    <w:rsid w:val="00D52EB7"/>
    <w:rsid w:val="00D55B47"/>
    <w:rsid w:val="00D573B6"/>
    <w:rsid w:val="00D57414"/>
    <w:rsid w:val="00D60FD7"/>
    <w:rsid w:val="00D62D20"/>
    <w:rsid w:val="00D62DE2"/>
    <w:rsid w:val="00D630D2"/>
    <w:rsid w:val="00D66A2B"/>
    <w:rsid w:val="00D67D21"/>
    <w:rsid w:val="00D67E3C"/>
    <w:rsid w:val="00D704A5"/>
    <w:rsid w:val="00D71301"/>
    <w:rsid w:val="00D71B49"/>
    <w:rsid w:val="00D73BAB"/>
    <w:rsid w:val="00D74A46"/>
    <w:rsid w:val="00D75F40"/>
    <w:rsid w:val="00D764DA"/>
    <w:rsid w:val="00D80882"/>
    <w:rsid w:val="00D81792"/>
    <w:rsid w:val="00D82257"/>
    <w:rsid w:val="00D82469"/>
    <w:rsid w:val="00D824C4"/>
    <w:rsid w:val="00D84358"/>
    <w:rsid w:val="00D84A11"/>
    <w:rsid w:val="00D85DE1"/>
    <w:rsid w:val="00D86E83"/>
    <w:rsid w:val="00D8742D"/>
    <w:rsid w:val="00D90826"/>
    <w:rsid w:val="00D932D5"/>
    <w:rsid w:val="00D945D7"/>
    <w:rsid w:val="00D9632D"/>
    <w:rsid w:val="00D96ACE"/>
    <w:rsid w:val="00D97180"/>
    <w:rsid w:val="00DA0043"/>
    <w:rsid w:val="00DA1419"/>
    <w:rsid w:val="00DA2457"/>
    <w:rsid w:val="00DA2ACB"/>
    <w:rsid w:val="00DA3A19"/>
    <w:rsid w:val="00DA4729"/>
    <w:rsid w:val="00DA57D8"/>
    <w:rsid w:val="00DA7203"/>
    <w:rsid w:val="00DB0654"/>
    <w:rsid w:val="00DB14DC"/>
    <w:rsid w:val="00DB1EEF"/>
    <w:rsid w:val="00DB53F9"/>
    <w:rsid w:val="00DB6AB1"/>
    <w:rsid w:val="00DB7115"/>
    <w:rsid w:val="00DC1897"/>
    <w:rsid w:val="00DC6D62"/>
    <w:rsid w:val="00DC701B"/>
    <w:rsid w:val="00DC7C7D"/>
    <w:rsid w:val="00DD19FC"/>
    <w:rsid w:val="00DD236D"/>
    <w:rsid w:val="00DD29A0"/>
    <w:rsid w:val="00DD4688"/>
    <w:rsid w:val="00DD5DC5"/>
    <w:rsid w:val="00DE33E7"/>
    <w:rsid w:val="00DE6855"/>
    <w:rsid w:val="00DF19CB"/>
    <w:rsid w:val="00DF501E"/>
    <w:rsid w:val="00DF5774"/>
    <w:rsid w:val="00DF70D3"/>
    <w:rsid w:val="00E01707"/>
    <w:rsid w:val="00E03A21"/>
    <w:rsid w:val="00E041C5"/>
    <w:rsid w:val="00E059EE"/>
    <w:rsid w:val="00E05A66"/>
    <w:rsid w:val="00E05CD3"/>
    <w:rsid w:val="00E06D21"/>
    <w:rsid w:val="00E10450"/>
    <w:rsid w:val="00E12CAF"/>
    <w:rsid w:val="00E16657"/>
    <w:rsid w:val="00E1739D"/>
    <w:rsid w:val="00E20675"/>
    <w:rsid w:val="00E21185"/>
    <w:rsid w:val="00E22141"/>
    <w:rsid w:val="00E22347"/>
    <w:rsid w:val="00E25133"/>
    <w:rsid w:val="00E26BBB"/>
    <w:rsid w:val="00E323E0"/>
    <w:rsid w:val="00E34DB6"/>
    <w:rsid w:val="00E35B3B"/>
    <w:rsid w:val="00E366D3"/>
    <w:rsid w:val="00E36B26"/>
    <w:rsid w:val="00E370CD"/>
    <w:rsid w:val="00E4001D"/>
    <w:rsid w:val="00E415B3"/>
    <w:rsid w:val="00E419AC"/>
    <w:rsid w:val="00E44FD0"/>
    <w:rsid w:val="00E468C4"/>
    <w:rsid w:val="00E473DF"/>
    <w:rsid w:val="00E52F67"/>
    <w:rsid w:val="00E544C6"/>
    <w:rsid w:val="00E57E6F"/>
    <w:rsid w:val="00E605A1"/>
    <w:rsid w:val="00E60D8F"/>
    <w:rsid w:val="00E61088"/>
    <w:rsid w:val="00E632FC"/>
    <w:rsid w:val="00E63D9E"/>
    <w:rsid w:val="00E6447F"/>
    <w:rsid w:val="00E66053"/>
    <w:rsid w:val="00E66BE5"/>
    <w:rsid w:val="00E66F63"/>
    <w:rsid w:val="00E7009B"/>
    <w:rsid w:val="00E70842"/>
    <w:rsid w:val="00E70F71"/>
    <w:rsid w:val="00E714F5"/>
    <w:rsid w:val="00E718EB"/>
    <w:rsid w:val="00E71BAA"/>
    <w:rsid w:val="00E71C30"/>
    <w:rsid w:val="00E72846"/>
    <w:rsid w:val="00E7302C"/>
    <w:rsid w:val="00E751A5"/>
    <w:rsid w:val="00E756DB"/>
    <w:rsid w:val="00E766DD"/>
    <w:rsid w:val="00E77751"/>
    <w:rsid w:val="00E82FDC"/>
    <w:rsid w:val="00E83C60"/>
    <w:rsid w:val="00E83E7B"/>
    <w:rsid w:val="00E83F08"/>
    <w:rsid w:val="00E8475E"/>
    <w:rsid w:val="00E86CE9"/>
    <w:rsid w:val="00E93A48"/>
    <w:rsid w:val="00E97C3A"/>
    <w:rsid w:val="00EA01A6"/>
    <w:rsid w:val="00EA27E1"/>
    <w:rsid w:val="00EA4610"/>
    <w:rsid w:val="00EA6FB1"/>
    <w:rsid w:val="00EA71A0"/>
    <w:rsid w:val="00EB6613"/>
    <w:rsid w:val="00EB6E3A"/>
    <w:rsid w:val="00EC2019"/>
    <w:rsid w:val="00EC5F21"/>
    <w:rsid w:val="00ED034C"/>
    <w:rsid w:val="00ED0A4A"/>
    <w:rsid w:val="00ED39EF"/>
    <w:rsid w:val="00ED52A9"/>
    <w:rsid w:val="00ED54FE"/>
    <w:rsid w:val="00ED7654"/>
    <w:rsid w:val="00EE042F"/>
    <w:rsid w:val="00EE1699"/>
    <w:rsid w:val="00EE217B"/>
    <w:rsid w:val="00EE4344"/>
    <w:rsid w:val="00EE4A58"/>
    <w:rsid w:val="00EE6018"/>
    <w:rsid w:val="00EE624E"/>
    <w:rsid w:val="00EE74B5"/>
    <w:rsid w:val="00EE7681"/>
    <w:rsid w:val="00EF07D4"/>
    <w:rsid w:val="00EF1256"/>
    <w:rsid w:val="00EF1A77"/>
    <w:rsid w:val="00EF2ED9"/>
    <w:rsid w:val="00EF51F0"/>
    <w:rsid w:val="00EF6540"/>
    <w:rsid w:val="00EF6DC0"/>
    <w:rsid w:val="00EF7282"/>
    <w:rsid w:val="00EF7863"/>
    <w:rsid w:val="00EF7C38"/>
    <w:rsid w:val="00F0032B"/>
    <w:rsid w:val="00F01074"/>
    <w:rsid w:val="00F04253"/>
    <w:rsid w:val="00F05A50"/>
    <w:rsid w:val="00F061D1"/>
    <w:rsid w:val="00F0741A"/>
    <w:rsid w:val="00F127D5"/>
    <w:rsid w:val="00F14010"/>
    <w:rsid w:val="00F14CD3"/>
    <w:rsid w:val="00F14EC0"/>
    <w:rsid w:val="00F15CF7"/>
    <w:rsid w:val="00F165DC"/>
    <w:rsid w:val="00F20368"/>
    <w:rsid w:val="00F22B49"/>
    <w:rsid w:val="00F26A67"/>
    <w:rsid w:val="00F339C8"/>
    <w:rsid w:val="00F34BDA"/>
    <w:rsid w:val="00F34D69"/>
    <w:rsid w:val="00F36C82"/>
    <w:rsid w:val="00F37102"/>
    <w:rsid w:val="00F37E0A"/>
    <w:rsid w:val="00F4196B"/>
    <w:rsid w:val="00F42ED9"/>
    <w:rsid w:val="00F42F59"/>
    <w:rsid w:val="00F43F04"/>
    <w:rsid w:val="00F440A9"/>
    <w:rsid w:val="00F4532E"/>
    <w:rsid w:val="00F45548"/>
    <w:rsid w:val="00F4720C"/>
    <w:rsid w:val="00F51433"/>
    <w:rsid w:val="00F52AC3"/>
    <w:rsid w:val="00F5326D"/>
    <w:rsid w:val="00F54FC1"/>
    <w:rsid w:val="00F550B9"/>
    <w:rsid w:val="00F55558"/>
    <w:rsid w:val="00F5669A"/>
    <w:rsid w:val="00F56E8A"/>
    <w:rsid w:val="00F63989"/>
    <w:rsid w:val="00F64424"/>
    <w:rsid w:val="00F644AE"/>
    <w:rsid w:val="00F65BF7"/>
    <w:rsid w:val="00F660C8"/>
    <w:rsid w:val="00F6615B"/>
    <w:rsid w:val="00F7087C"/>
    <w:rsid w:val="00F71F2A"/>
    <w:rsid w:val="00F72AEB"/>
    <w:rsid w:val="00F731F3"/>
    <w:rsid w:val="00F734C0"/>
    <w:rsid w:val="00F747A8"/>
    <w:rsid w:val="00F74A2C"/>
    <w:rsid w:val="00F75C43"/>
    <w:rsid w:val="00F766B5"/>
    <w:rsid w:val="00F766E6"/>
    <w:rsid w:val="00F76F13"/>
    <w:rsid w:val="00F77D9A"/>
    <w:rsid w:val="00F80801"/>
    <w:rsid w:val="00F80A5E"/>
    <w:rsid w:val="00F80FF7"/>
    <w:rsid w:val="00F822EA"/>
    <w:rsid w:val="00F83FDB"/>
    <w:rsid w:val="00F84027"/>
    <w:rsid w:val="00F85AB4"/>
    <w:rsid w:val="00F90307"/>
    <w:rsid w:val="00F92FB9"/>
    <w:rsid w:val="00F9385C"/>
    <w:rsid w:val="00F94C11"/>
    <w:rsid w:val="00FA0898"/>
    <w:rsid w:val="00FA3048"/>
    <w:rsid w:val="00FA526A"/>
    <w:rsid w:val="00FB18FC"/>
    <w:rsid w:val="00FB25FD"/>
    <w:rsid w:val="00FB4117"/>
    <w:rsid w:val="00FB49A0"/>
    <w:rsid w:val="00FC013F"/>
    <w:rsid w:val="00FC10FC"/>
    <w:rsid w:val="00FC5C5F"/>
    <w:rsid w:val="00FC6818"/>
    <w:rsid w:val="00FC737C"/>
    <w:rsid w:val="00FD08B7"/>
    <w:rsid w:val="00FD0E53"/>
    <w:rsid w:val="00FD13FE"/>
    <w:rsid w:val="00FD162E"/>
    <w:rsid w:val="00FD23B0"/>
    <w:rsid w:val="00FD27B6"/>
    <w:rsid w:val="00FD2BD1"/>
    <w:rsid w:val="00FE0ACC"/>
    <w:rsid w:val="00FE1044"/>
    <w:rsid w:val="00FE1254"/>
    <w:rsid w:val="00FE1D59"/>
    <w:rsid w:val="00FE283C"/>
    <w:rsid w:val="00FE69D9"/>
    <w:rsid w:val="00FF11BD"/>
    <w:rsid w:val="00FF53E1"/>
    <w:rsid w:val="00FF59A0"/>
    <w:rsid w:val="0CF64B11"/>
    <w:rsid w:val="CFB44BA8"/>
    <w:rsid w:val="D3EF6A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iPriority="0" w:name="annotation reference"/>
    <w:lsdException w:uiPriority="0" w:name="line number"/>
    <w:lsdException w:qFormat="1" w:unhideWhenUsed="0" w:uiPriority="0" w:semiHidden="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0" w:name="Balloon Text"/>
    <w:lsdException w:qFormat="1"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9"/>
    <w:qFormat/>
    <w:uiPriority w:val="0"/>
    <w:pPr>
      <w:keepNext/>
      <w:keepLines/>
      <w:spacing w:line="360" w:lineRule="auto"/>
      <w:ind w:firstLine="640" w:firstLineChars="200"/>
      <w:outlineLvl w:val="0"/>
    </w:pPr>
    <w:rPr>
      <w:rFonts w:ascii="黑体" w:eastAsia="黑体"/>
      <w:bCs/>
      <w:snapToGrid w:val="0"/>
      <w:kern w:val="0"/>
      <w:sz w:val="32"/>
      <w:szCs w:val="36"/>
    </w:rPr>
  </w:style>
  <w:style w:type="paragraph" w:styleId="3">
    <w:name w:val="heading 2"/>
    <w:basedOn w:val="1"/>
    <w:next w:val="1"/>
    <w:link w:val="21"/>
    <w:qFormat/>
    <w:uiPriority w:val="9"/>
    <w:pPr>
      <w:keepNext/>
      <w:keepLines/>
      <w:spacing w:before="260" w:after="260" w:line="416" w:lineRule="auto"/>
      <w:outlineLvl w:val="1"/>
    </w:pPr>
    <w:rPr>
      <w:rFonts w:ascii="Calibri Light" w:hAnsi="Calibri Light"/>
      <w:b/>
      <w:bCs/>
      <w:sz w:val="32"/>
      <w:szCs w:val="32"/>
    </w:rPr>
  </w:style>
  <w:style w:type="paragraph" w:styleId="4">
    <w:name w:val="heading 3"/>
    <w:basedOn w:val="1"/>
    <w:next w:val="1"/>
    <w:link w:val="32"/>
    <w:semiHidden/>
    <w:unhideWhenUsed/>
    <w:qFormat/>
    <w:uiPriority w:val="0"/>
    <w:pPr>
      <w:keepNext/>
      <w:keepLines/>
      <w:spacing w:before="260" w:after="260" w:line="416" w:lineRule="auto"/>
      <w:outlineLvl w:val="2"/>
    </w:pPr>
    <w:rPr>
      <w:b/>
      <w:bCs/>
      <w:sz w:val="32"/>
      <w:szCs w:val="32"/>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30"/>
    <w:semiHidden/>
    <w:unhideWhenUsed/>
    <w:qFormat/>
    <w:uiPriority w:val="0"/>
    <w:pPr>
      <w:jc w:val="left"/>
    </w:pPr>
  </w:style>
  <w:style w:type="paragraph" w:styleId="6">
    <w:name w:val="footer"/>
    <w:basedOn w:val="1"/>
    <w:link w:val="18"/>
    <w:qFormat/>
    <w:uiPriority w:val="99"/>
    <w:pPr>
      <w:tabs>
        <w:tab w:val="center" w:pos="4153"/>
        <w:tab w:val="right" w:pos="8306"/>
      </w:tabs>
      <w:snapToGrid w:val="0"/>
      <w:jc w:val="left"/>
    </w:pPr>
    <w:rPr>
      <w:sz w:val="18"/>
      <w:szCs w:val="18"/>
    </w:rPr>
  </w:style>
  <w:style w:type="paragraph" w:styleId="7">
    <w:name w:val="header"/>
    <w:basedOn w:val="1"/>
    <w:link w:val="20"/>
    <w:qFormat/>
    <w:uiPriority w:val="0"/>
    <w:pPr>
      <w:pBdr>
        <w:bottom w:val="single" w:color="auto" w:sz="6" w:space="1"/>
      </w:pBdr>
      <w:tabs>
        <w:tab w:val="center" w:pos="4153"/>
        <w:tab w:val="right" w:pos="8306"/>
      </w:tabs>
      <w:snapToGrid w:val="0"/>
      <w:jc w:val="center"/>
    </w:pPr>
    <w:rPr>
      <w:sz w:val="18"/>
      <w:szCs w:val="18"/>
    </w:rPr>
  </w:style>
  <w:style w:type="paragraph" w:styleId="8">
    <w:name w:val="toc 1"/>
    <w:basedOn w:val="1"/>
    <w:next w:val="1"/>
    <w:qFormat/>
    <w:uiPriority w:val="39"/>
  </w:style>
  <w:style w:type="paragraph" w:styleId="9">
    <w:name w:val="Subtitle"/>
    <w:basedOn w:val="1"/>
    <w:next w:val="1"/>
    <w:link w:val="22"/>
    <w:qFormat/>
    <w:uiPriority w:val="0"/>
    <w:pPr>
      <w:ind w:firstLine="200" w:firstLineChars="200"/>
      <w:jc w:val="left"/>
      <w:outlineLvl w:val="2"/>
    </w:pPr>
    <w:rPr>
      <w:rFonts w:ascii="Cambria" w:hAnsi="Cambria" w:eastAsia="黑体"/>
      <w:bCs/>
      <w:kern w:val="28"/>
      <w:sz w:val="28"/>
      <w:szCs w:val="32"/>
    </w:rPr>
  </w:style>
  <w:style w:type="paragraph" w:styleId="10">
    <w:name w:val="toc 2"/>
    <w:basedOn w:val="1"/>
    <w:next w:val="1"/>
    <w:qFormat/>
    <w:uiPriority w:val="39"/>
    <w:pPr>
      <w:ind w:left="420" w:leftChars="200"/>
    </w:pPr>
  </w:style>
  <w:style w:type="paragraph" w:styleId="11">
    <w:name w:val="annotation subject"/>
    <w:basedOn w:val="5"/>
    <w:next w:val="5"/>
    <w:link w:val="31"/>
    <w:semiHidden/>
    <w:unhideWhenUsed/>
    <w:qFormat/>
    <w:uiPriority w:val="0"/>
    <w:rPr>
      <w:b/>
      <w:bCs/>
    </w:rPr>
  </w:style>
  <w:style w:type="table" w:styleId="13">
    <w:name w:val="Table Grid"/>
    <w:basedOn w:val="12"/>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page number"/>
    <w:basedOn w:val="14"/>
    <w:qFormat/>
    <w:uiPriority w:val="0"/>
  </w:style>
  <w:style w:type="character" w:styleId="16">
    <w:name w:val="Hyperlink"/>
    <w:unhideWhenUsed/>
    <w:qFormat/>
    <w:uiPriority w:val="99"/>
    <w:rPr>
      <w:color w:val="0563C1"/>
      <w:u w:val="single"/>
    </w:rPr>
  </w:style>
  <w:style w:type="character" w:styleId="17">
    <w:name w:val="annotation reference"/>
    <w:basedOn w:val="14"/>
    <w:semiHidden/>
    <w:unhideWhenUsed/>
    <w:qFormat/>
    <w:uiPriority w:val="0"/>
    <w:rPr>
      <w:sz w:val="21"/>
      <w:szCs w:val="21"/>
    </w:rPr>
  </w:style>
  <w:style w:type="character" w:customStyle="1" w:styleId="18">
    <w:name w:val="页脚 字符"/>
    <w:link w:val="6"/>
    <w:qFormat/>
    <w:uiPriority w:val="99"/>
    <w:rPr>
      <w:kern w:val="2"/>
      <w:sz w:val="18"/>
      <w:szCs w:val="18"/>
    </w:rPr>
  </w:style>
  <w:style w:type="character" w:customStyle="1" w:styleId="19">
    <w:name w:val="标题 1 字符"/>
    <w:link w:val="2"/>
    <w:qFormat/>
    <w:uiPriority w:val="0"/>
    <w:rPr>
      <w:rFonts w:ascii="黑体" w:eastAsia="黑体"/>
      <w:bCs/>
      <w:snapToGrid w:val="0"/>
      <w:sz w:val="32"/>
      <w:szCs w:val="36"/>
    </w:rPr>
  </w:style>
  <w:style w:type="character" w:customStyle="1" w:styleId="20">
    <w:name w:val="页眉 字符"/>
    <w:link w:val="7"/>
    <w:qFormat/>
    <w:uiPriority w:val="0"/>
    <w:rPr>
      <w:kern w:val="2"/>
      <w:sz w:val="18"/>
      <w:szCs w:val="18"/>
    </w:rPr>
  </w:style>
  <w:style w:type="character" w:customStyle="1" w:styleId="21">
    <w:name w:val="标题 2 字符"/>
    <w:link w:val="3"/>
    <w:qFormat/>
    <w:uiPriority w:val="9"/>
    <w:rPr>
      <w:rFonts w:ascii="Calibri Light" w:hAnsi="Calibri Light" w:eastAsia="宋体" w:cs="Times New Roman"/>
      <w:b/>
      <w:bCs/>
      <w:kern w:val="2"/>
      <w:sz w:val="32"/>
      <w:szCs w:val="32"/>
    </w:rPr>
  </w:style>
  <w:style w:type="character" w:customStyle="1" w:styleId="22">
    <w:name w:val="副标题 字符"/>
    <w:link w:val="9"/>
    <w:qFormat/>
    <w:uiPriority w:val="0"/>
    <w:rPr>
      <w:rFonts w:ascii="Cambria" w:hAnsi="Cambria" w:eastAsia="黑体"/>
      <w:bCs/>
      <w:kern w:val="28"/>
      <w:sz w:val="28"/>
      <w:szCs w:val="32"/>
    </w:rPr>
  </w:style>
  <w:style w:type="paragraph" w:customStyle="1" w:styleId="23">
    <w:name w:val="目录 11"/>
    <w:basedOn w:val="1"/>
    <w:next w:val="1"/>
    <w:qFormat/>
    <w:uiPriority w:val="39"/>
  </w:style>
  <w:style w:type="paragraph" w:customStyle="1" w:styleId="24">
    <w:name w:val="目录 21"/>
    <w:basedOn w:val="1"/>
    <w:next w:val="1"/>
    <w:qFormat/>
    <w:uiPriority w:val="39"/>
    <w:pPr>
      <w:ind w:left="420" w:leftChars="200"/>
    </w:pPr>
  </w:style>
  <w:style w:type="paragraph" w:customStyle="1" w:styleId="25">
    <w:name w:val="TOC Heading"/>
    <w:basedOn w:val="2"/>
    <w:next w:val="1"/>
    <w:qFormat/>
    <w:uiPriority w:val="39"/>
    <w:pPr>
      <w:widowControl/>
      <w:spacing w:before="240" w:line="259" w:lineRule="auto"/>
      <w:ind w:firstLine="0" w:firstLineChars="0"/>
      <w:jc w:val="left"/>
      <w:outlineLvl w:val="9"/>
    </w:pPr>
    <w:rPr>
      <w:rFonts w:ascii="Calibri Light" w:hAnsi="Calibri Light" w:eastAsia="宋体"/>
      <w:bCs w:val="0"/>
      <w:snapToGrid/>
      <w:color w:val="2E74B5"/>
      <w:szCs w:val="32"/>
    </w:rPr>
  </w:style>
  <w:style w:type="paragraph" w:customStyle="1" w:styleId="26">
    <w:name w:val="列出段落1"/>
    <w:basedOn w:val="1"/>
    <w:qFormat/>
    <w:uiPriority w:val="34"/>
    <w:pPr>
      <w:ind w:firstLine="420" w:firstLineChars="200"/>
    </w:pPr>
    <w:rPr>
      <w:rFonts w:ascii="Calibri" w:hAnsi="Calibri"/>
      <w:szCs w:val="22"/>
    </w:rPr>
  </w:style>
  <w:style w:type="paragraph" w:styleId="27">
    <w:name w:val="List Paragraph"/>
    <w:basedOn w:val="1"/>
    <w:qFormat/>
    <w:uiPriority w:val="34"/>
    <w:pPr>
      <w:ind w:firstLine="420" w:firstLineChars="200"/>
    </w:pPr>
  </w:style>
  <w:style w:type="character" w:customStyle="1" w:styleId="28">
    <w:name w:val="未处理的提及1"/>
    <w:basedOn w:val="14"/>
    <w:semiHidden/>
    <w:unhideWhenUsed/>
    <w:qFormat/>
    <w:uiPriority w:val="99"/>
    <w:rPr>
      <w:color w:val="605E5C"/>
      <w:shd w:val="clear" w:color="auto" w:fill="E1DFDD"/>
    </w:rPr>
  </w:style>
  <w:style w:type="table" w:customStyle="1" w:styleId="29">
    <w:name w:val="网格型1"/>
    <w:basedOn w:val="12"/>
    <w:qFormat/>
    <w:locked/>
    <w:uiPriority w:val="59"/>
    <w:pPr>
      <w:widowControl w:val="0"/>
      <w:jc w:val="both"/>
    </w:pPr>
    <w:rPr>
      <w:rFonts w:hint="eastAsia" w:ascii="Calibri" w:hAnsi="Calibri" w:cs="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character" w:customStyle="1" w:styleId="30">
    <w:name w:val="批注文字 字符"/>
    <w:basedOn w:val="14"/>
    <w:link w:val="5"/>
    <w:semiHidden/>
    <w:qFormat/>
    <w:uiPriority w:val="0"/>
    <w:rPr>
      <w:kern w:val="2"/>
      <w:sz w:val="21"/>
      <w:szCs w:val="24"/>
    </w:rPr>
  </w:style>
  <w:style w:type="character" w:customStyle="1" w:styleId="31">
    <w:name w:val="批注主题 字符"/>
    <w:basedOn w:val="30"/>
    <w:link w:val="11"/>
    <w:semiHidden/>
    <w:qFormat/>
    <w:uiPriority w:val="0"/>
    <w:rPr>
      <w:b/>
      <w:bCs/>
      <w:kern w:val="2"/>
      <w:sz w:val="21"/>
      <w:szCs w:val="24"/>
    </w:rPr>
  </w:style>
  <w:style w:type="character" w:customStyle="1" w:styleId="32">
    <w:name w:val="标题 3 字符"/>
    <w:basedOn w:val="14"/>
    <w:link w:val="4"/>
    <w:semiHidden/>
    <w:qFormat/>
    <w:uiPriority w:val="0"/>
    <w:rPr>
      <w:b/>
      <w:bCs/>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electedStyle="\APASixthEditionOfficeOnline.xsl" StyleName="APA"/>
</file>

<file path=customXml/itemProps1.xml><?xml version="1.0" encoding="utf-8"?>
<ds:datastoreItem xmlns:ds="http://schemas.openxmlformats.org/officeDocument/2006/customXml" ds:itemID="{E1E7335D-740B-4069-80D3-2B9AE2D18125}">
  <ds:schemaRefs/>
</ds:datastoreItem>
</file>

<file path=docProps/app.xml><?xml version="1.0" encoding="utf-8"?>
<Properties xmlns="http://schemas.openxmlformats.org/officeDocument/2006/extended-properties" xmlns:vt="http://schemas.openxmlformats.org/officeDocument/2006/docPropsVTypes">
  <Template>Normal.dotm</Template>
  <Pages>45</Pages>
  <Words>18099</Words>
  <Characters>5125</Characters>
  <Lines>42</Lines>
  <Paragraphs>46</Paragraphs>
  <TotalTime>3132</TotalTime>
  <ScaleCrop>false</ScaleCrop>
  <LinksUpToDate>false</LinksUpToDate>
  <CharactersWithSpaces>23178</CharactersWithSpaces>
  <Application>WPS Office_11.8.2.12185_F1E327BC-269C-435d-A152-05C5408002CA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2022-08-05T00:08:00Z</dcterms:created>
  <dc:creator>陈栋</dc:creator>
  <cp:lastModifiedBy>thtf</cp:lastModifiedBy>
  <cp:lastPrinted>2022-10-11T17:54:00Z</cp:lastPrinted>
  <dcterms:modified xsi:type="dcterms:W3CDTF">2024-12-08T20:30:53Z</dcterms:modified>
  <dc:title>附件5-1：</dc:title>
  <cp:revision>149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2052-11.8.2.12185</vt:lpwstr>
  </property>
  <property fmtid="{D5CDD505-2E9C-101B-9397-08002B2CF9AE}" pid="3" name="ICV">
    <vt:lpwstr>C5FCDEA2D74AF2CB759055671B8E279A</vt:lpwstr>
  </property>
</Properties>
</file>